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01D1" w14:textId="429050A8" w:rsidR="00F72B5A" w:rsidRDefault="00F72B5A" w:rsidP="00F72B5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浜松商工会議所</w:t>
      </w:r>
    </w:p>
    <w:p w14:paraId="0CE39CE7" w14:textId="553F1191" w:rsidR="00F72B5A" w:rsidRDefault="00F72B5A" w:rsidP="00F72B5A">
      <w:pPr>
        <w:rPr>
          <w:b/>
          <w:sz w:val="28"/>
          <w:szCs w:val="28"/>
        </w:rPr>
      </w:pPr>
    </w:p>
    <w:p w14:paraId="27BABF25" w14:textId="238719C2" w:rsidR="00E5114E" w:rsidRPr="006764EB" w:rsidRDefault="006959A4" w:rsidP="006764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回「</w:t>
      </w:r>
      <w:r w:rsidR="004520D4">
        <w:rPr>
          <w:rFonts w:hint="eastAsia"/>
          <w:b/>
          <w:sz w:val="28"/>
          <w:szCs w:val="28"/>
        </w:rPr>
        <w:t>新型コロナ</w:t>
      </w:r>
      <w:r>
        <w:rPr>
          <w:rFonts w:hint="eastAsia"/>
          <w:b/>
          <w:sz w:val="28"/>
          <w:szCs w:val="28"/>
        </w:rPr>
        <w:t>ウイルス</w:t>
      </w:r>
      <w:r w:rsidR="004520D4">
        <w:rPr>
          <w:rFonts w:hint="eastAsia"/>
          <w:b/>
          <w:sz w:val="28"/>
          <w:szCs w:val="28"/>
        </w:rPr>
        <w:t>感染症</w:t>
      </w:r>
      <w:r>
        <w:rPr>
          <w:rFonts w:hint="eastAsia"/>
          <w:b/>
          <w:sz w:val="28"/>
          <w:szCs w:val="28"/>
        </w:rPr>
        <w:t>に関するアンケート」調査結果</w:t>
      </w:r>
    </w:p>
    <w:p w14:paraId="36F2745F" w14:textId="33A0A292" w:rsidR="00AC0461" w:rsidRPr="00CB5A9C" w:rsidRDefault="00AC0461" w:rsidP="006E3447">
      <w:pPr>
        <w:rPr>
          <w:b/>
          <w:sz w:val="24"/>
          <w:szCs w:val="24"/>
        </w:rPr>
      </w:pPr>
    </w:p>
    <w:p w14:paraId="0045B25C" w14:textId="6B6DC466" w:rsidR="006E3447" w:rsidRPr="00CB5A9C" w:rsidRDefault="006E3447" w:rsidP="006E3447">
      <w:pPr>
        <w:rPr>
          <w:b/>
          <w:sz w:val="24"/>
          <w:szCs w:val="24"/>
          <w:lang w:eastAsia="zh-TW"/>
        </w:rPr>
      </w:pPr>
      <w:r w:rsidRPr="00CB5A9C">
        <w:rPr>
          <w:rFonts w:hint="eastAsia"/>
          <w:b/>
          <w:sz w:val="24"/>
          <w:szCs w:val="24"/>
          <w:lang w:eastAsia="zh-TW"/>
        </w:rPr>
        <w:t>要旨</w:t>
      </w:r>
    </w:p>
    <w:p w14:paraId="3E970EAF" w14:textId="30DB8490" w:rsidR="006E3447" w:rsidRPr="00CB5A9C" w:rsidRDefault="00CB5A9C" w:rsidP="00786B3F">
      <w:pPr>
        <w:pStyle w:val="a3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CB5A9C">
        <w:rPr>
          <w:rFonts w:asciiTheme="minorEastAsia" w:hAnsiTheme="minorEastAsia" w:hint="eastAsia"/>
          <w:bCs/>
          <w:szCs w:val="21"/>
        </w:rPr>
        <w:t>4～6月は8割以上の事業所が売上減少。宿泊業は全回答事業所が半減以下となった。</w:t>
      </w:r>
    </w:p>
    <w:p w14:paraId="7D2F836B" w14:textId="4B442FC7" w:rsidR="00C71A62" w:rsidRDefault="00CB5A9C" w:rsidP="0098216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bCs/>
          <w:szCs w:val="21"/>
        </w:rPr>
      </w:pPr>
      <w:r w:rsidRPr="00CB5A9C">
        <w:rPr>
          <w:rFonts w:asciiTheme="minorEastAsia" w:hAnsiTheme="minorEastAsia" w:hint="eastAsia"/>
          <w:bCs/>
          <w:szCs w:val="21"/>
        </w:rPr>
        <w:t>約4割が休業（一部休業を含む）を実施。約2割が営業時間短縮を行った。</w:t>
      </w:r>
    </w:p>
    <w:p w14:paraId="11E9BB3D" w14:textId="46FAA031" w:rsidR="00CB5A9C" w:rsidRDefault="00CB5A9C" w:rsidP="0098216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3社に1社がテレワークを実施。4社に1社が時差出勤を実施した。</w:t>
      </w:r>
    </w:p>
    <w:p w14:paraId="17E056D0" w14:textId="017E343C" w:rsidR="00CB5A9C" w:rsidRDefault="00CB5A9C" w:rsidP="0098216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約4割が雇用</w:t>
      </w:r>
      <w:r w:rsidR="006959A4">
        <w:rPr>
          <w:rFonts w:asciiTheme="minorEastAsia" w:hAnsiTheme="minorEastAsia" w:hint="eastAsia"/>
          <w:bCs/>
          <w:szCs w:val="21"/>
        </w:rPr>
        <w:t>調整</w:t>
      </w:r>
      <w:r>
        <w:rPr>
          <w:rFonts w:asciiTheme="minorEastAsia" w:hAnsiTheme="minorEastAsia" w:hint="eastAsia"/>
          <w:bCs/>
          <w:szCs w:val="21"/>
        </w:rPr>
        <w:t>助成金、約3割が持続化給付金を活用した（いずれも予定含む）</w:t>
      </w:r>
      <w:r w:rsidR="002530F9">
        <w:rPr>
          <w:rFonts w:asciiTheme="minorEastAsia" w:hAnsiTheme="minorEastAsia" w:hint="eastAsia"/>
          <w:bCs/>
          <w:szCs w:val="21"/>
        </w:rPr>
        <w:t>。</w:t>
      </w:r>
    </w:p>
    <w:p w14:paraId="28663217" w14:textId="653B6A59" w:rsidR="007624CB" w:rsidRPr="00CB5A9C" w:rsidRDefault="007624CB" w:rsidP="0098216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行政や会議所などに対し、「迅速かつ</w:t>
      </w:r>
      <w:r w:rsidR="008A1AC3">
        <w:rPr>
          <w:rFonts w:asciiTheme="minorEastAsia" w:hAnsiTheme="minorEastAsia" w:hint="eastAsia"/>
          <w:bCs/>
          <w:szCs w:val="21"/>
        </w:rPr>
        <w:t>正確で</w:t>
      </w:r>
      <w:r>
        <w:rPr>
          <w:rFonts w:asciiTheme="minorEastAsia" w:hAnsiTheme="minorEastAsia" w:hint="eastAsia"/>
          <w:bCs/>
          <w:szCs w:val="21"/>
        </w:rPr>
        <w:t>分かりやすい情報の提供」を求める声が多い。</w:t>
      </w:r>
    </w:p>
    <w:p w14:paraId="6A9F16A0" w14:textId="0B1B53D6" w:rsidR="00AC0461" w:rsidRPr="00985CEC" w:rsidRDefault="00AC0461">
      <w:pPr>
        <w:rPr>
          <w:b/>
          <w:color w:val="FF0000"/>
          <w:sz w:val="24"/>
          <w:szCs w:val="24"/>
        </w:rPr>
      </w:pPr>
    </w:p>
    <w:p w14:paraId="3A568722" w14:textId="1DB934EF" w:rsidR="006764EB" w:rsidRPr="00985CEC" w:rsidRDefault="006E3447">
      <w:pPr>
        <w:rPr>
          <w:b/>
          <w:sz w:val="24"/>
          <w:szCs w:val="24"/>
        </w:rPr>
      </w:pPr>
      <w:r w:rsidRPr="00985CEC">
        <w:rPr>
          <w:rFonts w:hint="eastAsia"/>
          <w:b/>
          <w:sz w:val="24"/>
          <w:szCs w:val="24"/>
        </w:rPr>
        <w:t>調査概要</w:t>
      </w:r>
    </w:p>
    <w:p w14:paraId="248B0942" w14:textId="2A9157B2" w:rsidR="00FA1348" w:rsidRPr="00985CEC" w:rsidRDefault="006E3447">
      <w:pPr>
        <w:rPr>
          <w:rFonts w:asciiTheme="majorEastAsia" w:eastAsiaTheme="majorEastAsia" w:hAnsiTheme="majorEastAsia" w:cs="Arial"/>
          <w:shd w:val="clear" w:color="auto" w:fill="FFFFFF"/>
        </w:rPr>
      </w:pP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調査目的</w:t>
      </w:r>
      <w:r w:rsidRPr="00985CEC">
        <w:rPr>
          <w:rFonts w:asciiTheme="majorEastAsia" w:eastAsiaTheme="majorEastAsia" w:hAnsiTheme="majorEastAsia" w:cs="Arial"/>
          <w:shd w:val="clear" w:color="auto" w:fill="FFFFFF"/>
        </w:rPr>
        <w:t>：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新型コロナ</w:t>
      </w:r>
      <w:r w:rsidR="006959A4">
        <w:rPr>
          <w:rFonts w:asciiTheme="majorEastAsia" w:eastAsiaTheme="majorEastAsia" w:hAnsiTheme="majorEastAsia" w:cs="Arial" w:hint="eastAsia"/>
          <w:shd w:val="clear" w:color="auto" w:fill="FFFFFF"/>
        </w:rPr>
        <w:t>ウイルス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感染症が企業活動に及ぼす影響を把握するため</w:t>
      </w:r>
      <w:r w:rsidR="00FA1348" w:rsidRPr="00985CEC">
        <w:rPr>
          <w:rFonts w:asciiTheme="majorEastAsia" w:eastAsiaTheme="majorEastAsia" w:hAnsiTheme="majorEastAsia" w:cs="Arial"/>
        </w:rPr>
        <w:br/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調査対象</w:t>
      </w:r>
      <w:r w:rsidR="00FA1348" w:rsidRPr="00985CEC">
        <w:rPr>
          <w:rFonts w:asciiTheme="majorEastAsia" w:eastAsiaTheme="majorEastAsia" w:hAnsiTheme="majorEastAsia" w:cs="Arial"/>
          <w:shd w:val="clear" w:color="auto" w:fill="FFFFFF"/>
        </w:rPr>
        <w:t>：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浜松商工会議所12部会役員企業　519社</w:t>
      </w:r>
      <w:r w:rsidR="00FA1348" w:rsidRPr="00985CEC">
        <w:rPr>
          <w:rFonts w:asciiTheme="majorEastAsia" w:eastAsiaTheme="majorEastAsia" w:hAnsiTheme="majorEastAsia" w:cs="Arial"/>
        </w:rPr>
        <w:br/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調査時期</w:t>
      </w:r>
      <w:r w:rsidR="00FA1348" w:rsidRPr="00985CEC">
        <w:rPr>
          <w:rFonts w:asciiTheme="majorEastAsia" w:eastAsiaTheme="majorEastAsia" w:hAnsiTheme="majorEastAsia" w:cs="Arial"/>
          <w:shd w:val="clear" w:color="auto" w:fill="FFFFFF"/>
        </w:rPr>
        <w:t>：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2020年</w:t>
      </w:r>
      <w:r w:rsidR="00985CEC">
        <w:rPr>
          <w:rFonts w:asciiTheme="majorEastAsia" w:eastAsiaTheme="majorEastAsia" w:hAnsiTheme="majorEastAsia" w:cs="Arial" w:hint="eastAsia"/>
          <w:shd w:val="clear" w:color="auto" w:fill="FFFFFF"/>
        </w:rPr>
        <w:t>6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月</w:t>
      </w:r>
      <w:r w:rsidR="00985CEC">
        <w:rPr>
          <w:rFonts w:asciiTheme="majorEastAsia" w:eastAsiaTheme="majorEastAsia" w:hAnsiTheme="majorEastAsia" w:cs="Arial" w:hint="eastAsia"/>
          <w:shd w:val="clear" w:color="auto" w:fill="FFFFFF"/>
        </w:rPr>
        <w:t>1</w:t>
      </w:r>
      <w:r w:rsidR="006959A4">
        <w:rPr>
          <w:rFonts w:asciiTheme="majorEastAsia" w:eastAsiaTheme="majorEastAsia" w:hAnsiTheme="majorEastAsia" w:cs="Arial"/>
          <w:shd w:val="clear" w:color="auto" w:fill="FFFFFF"/>
        </w:rPr>
        <w:t>5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日～</w:t>
      </w:r>
      <w:r w:rsidR="00985CEC">
        <w:rPr>
          <w:rFonts w:asciiTheme="majorEastAsia" w:eastAsiaTheme="majorEastAsia" w:hAnsiTheme="majorEastAsia" w:cs="Arial"/>
          <w:shd w:val="clear" w:color="auto" w:fill="FFFFFF"/>
        </w:rPr>
        <w:t>6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月</w:t>
      </w:r>
      <w:r w:rsidR="00985CEC">
        <w:rPr>
          <w:rFonts w:asciiTheme="majorEastAsia" w:eastAsiaTheme="majorEastAsia" w:hAnsiTheme="majorEastAsia" w:cs="Arial" w:hint="eastAsia"/>
          <w:shd w:val="clear" w:color="auto" w:fill="FFFFFF"/>
        </w:rPr>
        <w:t>2</w:t>
      </w:r>
      <w:r w:rsidR="006959A4">
        <w:rPr>
          <w:rFonts w:asciiTheme="majorEastAsia" w:eastAsiaTheme="majorEastAsia" w:hAnsiTheme="majorEastAsia" w:cs="Arial"/>
          <w:shd w:val="clear" w:color="auto" w:fill="FFFFFF"/>
        </w:rPr>
        <w:t>2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日</w:t>
      </w:r>
    </w:p>
    <w:p w14:paraId="407F5828" w14:textId="7CDA555A" w:rsidR="006E3447" w:rsidRPr="00985CEC" w:rsidRDefault="006E3447">
      <w:pPr>
        <w:rPr>
          <w:rFonts w:asciiTheme="majorEastAsia" w:eastAsiaTheme="majorEastAsia" w:hAnsiTheme="majorEastAsia" w:cs="Arial"/>
          <w:shd w:val="clear" w:color="auto" w:fill="FFFFFF"/>
        </w:rPr>
      </w:pP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調査方法：対象企業に調査票をFAX送信し、FAXで返送</w:t>
      </w:r>
    </w:p>
    <w:p w14:paraId="490C6613" w14:textId="2B9E35BB" w:rsidR="0018429F" w:rsidRDefault="006E3447">
      <w:pPr>
        <w:rPr>
          <w:rFonts w:asciiTheme="majorEastAsia" w:eastAsiaTheme="majorEastAsia" w:hAnsiTheme="majorEastAsia" w:cs="Arial"/>
          <w:shd w:val="clear" w:color="auto" w:fill="FFFFFF"/>
        </w:rPr>
      </w:pP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回収状況：</w:t>
      </w:r>
      <w:r w:rsidR="00985CEC">
        <w:rPr>
          <w:rFonts w:asciiTheme="majorEastAsia" w:eastAsiaTheme="majorEastAsia" w:hAnsiTheme="majorEastAsia" w:cs="Arial"/>
          <w:shd w:val="clear" w:color="auto" w:fill="FFFFFF"/>
        </w:rPr>
        <w:t>319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社（有効回答率</w:t>
      </w:r>
      <w:r w:rsidR="00985CEC">
        <w:rPr>
          <w:rFonts w:asciiTheme="majorEastAsia" w:eastAsiaTheme="majorEastAsia" w:hAnsiTheme="majorEastAsia" w:cs="Arial"/>
          <w:shd w:val="clear" w:color="auto" w:fill="FFFFFF"/>
        </w:rPr>
        <w:t>61</w:t>
      </w:r>
      <w:r w:rsidR="00985CEC">
        <w:rPr>
          <w:rFonts w:asciiTheme="majorEastAsia" w:eastAsiaTheme="majorEastAsia" w:hAnsiTheme="majorEastAsia" w:cs="Arial" w:hint="eastAsia"/>
          <w:shd w:val="clear" w:color="auto" w:fill="FFFFFF"/>
        </w:rPr>
        <w:t>.5</w:t>
      </w:r>
      <w:r w:rsidRPr="00985CEC">
        <w:rPr>
          <w:rFonts w:asciiTheme="majorEastAsia" w:eastAsiaTheme="majorEastAsia" w:hAnsiTheme="majorEastAsia" w:cs="Arial" w:hint="eastAsia"/>
          <w:shd w:val="clear" w:color="auto" w:fill="FFFFFF"/>
        </w:rPr>
        <w:t>％）</w:t>
      </w:r>
    </w:p>
    <w:p w14:paraId="5B0083FA" w14:textId="47A15E34" w:rsidR="00283BE5" w:rsidRPr="00283BE5" w:rsidRDefault="00283BE5">
      <w:pPr>
        <w:rPr>
          <w:rFonts w:asciiTheme="majorEastAsia" w:eastAsiaTheme="majorEastAsia" w:hAnsiTheme="majorEastAsia" w:cs="Arial"/>
          <w:shd w:val="clear" w:color="auto" w:fill="FFFFFF"/>
        </w:rPr>
      </w:pPr>
    </w:p>
    <w:p w14:paraId="3113E634" w14:textId="0A9AB023" w:rsidR="006764EB" w:rsidRPr="00B063E3" w:rsidRDefault="006E3447">
      <w:pPr>
        <w:rPr>
          <w:b/>
          <w:sz w:val="24"/>
          <w:szCs w:val="24"/>
        </w:rPr>
      </w:pPr>
      <w:r w:rsidRPr="00B063E3">
        <w:rPr>
          <w:rFonts w:hint="eastAsia"/>
          <w:b/>
          <w:sz w:val="24"/>
          <w:szCs w:val="24"/>
        </w:rPr>
        <w:t>回答企業の属性</w:t>
      </w:r>
    </w:p>
    <w:p w14:paraId="3527AEF5" w14:textId="06F895A2" w:rsidR="0018429F" w:rsidRPr="00985CEC" w:rsidRDefault="0018429F" w:rsidP="00AC0461">
      <w:pPr>
        <w:adjustRightInd w:val="0"/>
        <w:snapToGrid w:val="0"/>
        <w:rPr>
          <w:b/>
          <w:color w:val="FF0000"/>
          <w:szCs w:val="21"/>
        </w:rPr>
      </w:pPr>
    </w:p>
    <w:p w14:paraId="1C601D6B" w14:textId="3DABC58F" w:rsidR="0018429F" w:rsidRPr="00290A32" w:rsidRDefault="0098216E" w:rsidP="00AC0461">
      <w:pPr>
        <w:adjustRightInd w:val="0"/>
        <w:snapToGrid w:val="0"/>
        <w:rPr>
          <w:rFonts w:eastAsia="PMingLiU"/>
          <w:b/>
          <w:color w:val="FF0000"/>
          <w:szCs w:val="21"/>
          <w:lang w:eastAsia="zh-TW"/>
        </w:rPr>
      </w:pPr>
      <w:r w:rsidRPr="0098216E">
        <w:rPr>
          <w:noProof/>
          <w:lang w:bidi="hi-IN"/>
        </w:rPr>
        <w:drawing>
          <wp:anchor distT="0" distB="0" distL="114300" distR="114300" simplePos="0" relativeHeight="251663360" behindDoc="1" locked="0" layoutInCell="1" allowOverlap="1" wp14:anchorId="11182B19" wp14:editId="2B182066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2578735" cy="2446655"/>
            <wp:effectExtent l="0" t="0" r="0" b="0"/>
            <wp:wrapTight wrapText="bothSides">
              <wp:wrapPolygon edited="0">
                <wp:start x="0" y="0"/>
                <wp:lineTo x="0" y="21359"/>
                <wp:lineTo x="21382" y="21359"/>
                <wp:lineTo x="2138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29F" w:rsidRPr="00290A32">
        <w:rPr>
          <w:rFonts w:hint="eastAsia"/>
          <w:b/>
          <w:szCs w:val="21"/>
          <w:lang w:eastAsia="zh-TW"/>
        </w:rPr>
        <w:t xml:space="preserve">業種　</w:t>
      </w:r>
      <w:r w:rsidR="0018429F" w:rsidRPr="00985CEC">
        <w:rPr>
          <w:rFonts w:hint="eastAsia"/>
          <w:b/>
          <w:color w:val="FF0000"/>
          <w:szCs w:val="21"/>
          <w:lang w:eastAsia="zh-TW"/>
        </w:rPr>
        <w:t xml:space="preserve">　　　　　　　　　　　　　　　　　</w:t>
      </w:r>
      <w:r w:rsidR="0018429F" w:rsidRPr="00290A32">
        <w:rPr>
          <w:rFonts w:hint="eastAsia"/>
          <w:b/>
          <w:szCs w:val="21"/>
          <w:lang w:eastAsia="zh-TW"/>
        </w:rPr>
        <w:t>従業員規模</w:t>
      </w:r>
    </w:p>
    <w:p w14:paraId="60A5267A" w14:textId="0C47E869" w:rsidR="00AC0461" w:rsidRPr="00985CEC" w:rsidRDefault="00486FD7" w:rsidP="00AC0461">
      <w:pPr>
        <w:adjustRightInd w:val="0"/>
        <w:snapToGrid w:val="0"/>
        <w:rPr>
          <w:b/>
          <w:color w:val="FF0000"/>
          <w:sz w:val="24"/>
          <w:szCs w:val="24"/>
          <w:lang w:eastAsia="zh-TW"/>
        </w:rPr>
      </w:pPr>
      <w:r w:rsidRPr="00486FD7">
        <w:rPr>
          <w:noProof/>
          <w:lang w:bidi="hi-IN"/>
        </w:rPr>
        <w:drawing>
          <wp:inline distT="0" distB="0" distL="0" distR="0" wp14:anchorId="4D79B9DB" wp14:editId="4465157A">
            <wp:extent cx="2578735" cy="1227455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85EC" w14:textId="02F8D015" w:rsidR="006E3447" w:rsidRPr="00985CEC" w:rsidRDefault="006E3447" w:rsidP="00AC0461">
      <w:pPr>
        <w:adjustRightInd w:val="0"/>
        <w:snapToGrid w:val="0"/>
        <w:rPr>
          <w:b/>
          <w:color w:val="FF0000"/>
          <w:sz w:val="24"/>
          <w:szCs w:val="24"/>
          <w:lang w:eastAsia="zh-TW"/>
        </w:rPr>
      </w:pPr>
    </w:p>
    <w:p w14:paraId="4DBF8A25" w14:textId="5FE95F11" w:rsidR="0018429F" w:rsidRPr="00985CEC" w:rsidRDefault="0018429F" w:rsidP="00AC0461">
      <w:pPr>
        <w:adjustRightInd w:val="0"/>
        <w:snapToGrid w:val="0"/>
        <w:rPr>
          <w:b/>
          <w:color w:val="FF0000"/>
          <w:sz w:val="24"/>
          <w:szCs w:val="24"/>
          <w:lang w:eastAsia="zh-TW"/>
        </w:rPr>
      </w:pPr>
    </w:p>
    <w:p w14:paraId="12214255" w14:textId="6336B23A" w:rsidR="0018429F" w:rsidRPr="00985CEC" w:rsidRDefault="0018429F" w:rsidP="00AC0461">
      <w:pPr>
        <w:adjustRightInd w:val="0"/>
        <w:snapToGrid w:val="0"/>
        <w:rPr>
          <w:b/>
          <w:color w:val="FF0000"/>
          <w:sz w:val="24"/>
          <w:szCs w:val="24"/>
          <w:lang w:eastAsia="zh-TW"/>
        </w:rPr>
      </w:pPr>
    </w:p>
    <w:p w14:paraId="42367213" w14:textId="493273D9" w:rsidR="0018429F" w:rsidRPr="00985CEC" w:rsidRDefault="0018429F" w:rsidP="00AC0461">
      <w:pPr>
        <w:snapToGrid w:val="0"/>
        <w:rPr>
          <w:b/>
          <w:color w:val="FF0000"/>
          <w:sz w:val="24"/>
          <w:szCs w:val="24"/>
          <w:lang w:eastAsia="zh-TW"/>
        </w:rPr>
      </w:pPr>
    </w:p>
    <w:p w14:paraId="01E4AEAE" w14:textId="25D6E14D" w:rsidR="00AC0461" w:rsidRPr="00985CEC" w:rsidRDefault="00AC0461">
      <w:pPr>
        <w:widowControl/>
        <w:jc w:val="left"/>
        <w:rPr>
          <w:b/>
          <w:color w:val="FF0000"/>
          <w:sz w:val="24"/>
          <w:szCs w:val="24"/>
          <w:lang w:eastAsia="zh-TW"/>
        </w:rPr>
      </w:pPr>
      <w:r w:rsidRPr="00985CEC">
        <w:rPr>
          <w:b/>
          <w:color w:val="FF0000"/>
          <w:sz w:val="24"/>
          <w:szCs w:val="24"/>
          <w:lang w:eastAsia="zh-TW"/>
        </w:rPr>
        <w:br w:type="page"/>
      </w:r>
    </w:p>
    <w:p w14:paraId="7646DD88" w14:textId="2001E098" w:rsidR="00AC0461" w:rsidRDefault="009E04ED" w:rsidP="00283BE5">
      <w:pPr>
        <w:rPr>
          <w:b/>
          <w:sz w:val="24"/>
          <w:szCs w:val="24"/>
        </w:rPr>
      </w:pPr>
      <w:r w:rsidRPr="00414E19">
        <w:rPr>
          <w:rFonts w:hint="eastAsia"/>
          <w:b/>
          <w:sz w:val="24"/>
          <w:szCs w:val="24"/>
        </w:rPr>
        <w:lastRenderedPageBreak/>
        <w:t>調査結果</w:t>
      </w:r>
    </w:p>
    <w:p w14:paraId="0311FA2B" w14:textId="364939B4" w:rsidR="00283BE5" w:rsidRPr="00283BE5" w:rsidRDefault="00283BE5" w:rsidP="00283B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①４～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月期の売上実績（対前年比）</w:t>
      </w:r>
    </w:p>
    <w:p w14:paraId="795AB850" w14:textId="43C0A1DF" w:rsidR="00AC0461" w:rsidRPr="00985CEC" w:rsidRDefault="00AC0461" w:rsidP="00546BDD">
      <w:pPr>
        <w:snapToGrid w:val="0"/>
        <w:spacing w:line="276" w:lineRule="auto"/>
        <w:rPr>
          <w:rFonts w:asciiTheme="minorEastAsia" w:hAnsiTheme="minorEastAsia"/>
          <w:bCs/>
          <w:color w:val="FF0000"/>
          <w:szCs w:val="21"/>
        </w:rPr>
      </w:pPr>
    </w:p>
    <w:p w14:paraId="500EC11A" w14:textId="6112DB29" w:rsidR="00546BDD" w:rsidRPr="005038D4" w:rsidRDefault="00546BDD" w:rsidP="00546BDD">
      <w:pPr>
        <w:snapToGrid w:val="0"/>
        <w:spacing w:line="276" w:lineRule="auto"/>
        <w:rPr>
          <w:b/>
          <w:sz w:val="24"/>
          <w:szCs w:val="24"/>
        </w:rPr>
      </w:pPr>
      <w:r w:rsidRPr="005038D4">
        <w:rPr>
          <w:b/>
          <w:sz w:val="24"/>
          <w:szCs w:val="24"/>
        </w:rPr>
        <w:t>全体</w:t>
      </w:r>
    </w:p>
    <w:p w14:paraId="33697C6A" w14:textId="2DE50D09" w:rsidR="00AC0461" w:rsidRPr="005038D4" w:rsidRDefault="005038D4" w:rsidP="00546BDD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5038D4">
        <w:rPr>
          <w:rFonts w:asciiTheme="minorEastAsia" w:hAnsiTheme="minorEastAsia" w:hint="eastAsia"/>
          <w:bCs/>
          <w:szCs w:val="21"/>
        </w:rPr>
        <w:t>『増加』は累計で1割程度にとどまり、8割以上の事業所が『減少』と回答した。</w:t>
      </w:r>
    </w:p>
    <w:p w14:paraId="20F05BC0" w14:textId="7C5A541D" w:rsidR="00546BDD" w:rsidRPr="005038D4" w:rsidRDefault="005038D4" w:rsidP="00546BDD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5038D4">
        <w:rPr>
          <w:rFonts w:asciiTheme="minorEastAsia" w:hAnsiTheme="minorEastAsia" w:hint="eastAsia"/>
          <w:bCs/>
          <w:szCs w:val="21"/>
        </w:rPr>
        <w:t>『減少』の内訳は、</w:t>
      </w:r>
      <w:r>
        <w:rPr>
          <w:rFonts w:asciiTheme="minorEastAsia" w:hAnsiTheme="minorEastAsia" w:hint="eastAsia"/>
          <w:bCs/>
          <w:szCs w:val="21"/>
        </w:rPr>
        <w:t>「30％未満～10％減少」（32.0</w:t>
      </w:r>
      <w:r w:rsidR="006E094F">
        <w:rPr>
          <w:rFonts w:asciiTheme="minorEastAsia" w:hAnsiTheme="minorEastAsia" w:hint="eastAsia"/>
          <w:bCs/>
          <w:szCs w:val="21"/>
        </w:rPr>
        <w:t>％）が最も高く</w:t>
      </w:r>
      <w:r>
        <w:rPr>
          <w:rFonts w:asciiTheme="minorEastAsia" w:hAnsiTheme="minorEastAsia" w:hint="eastAsia"/>
          <w:bCs/>
          <w:szCs w:val="21"/>
        </w:rPr>
        <w:t>、次いで「10％未満</w:t>
      </w:r>
      <w:r w:rsidR="008A1AC3">
        <w:rPr>
          <w:rFonts w:asciiTheme="minorEastAsia" w:hAnsiTheme="minorEastAsia" w:hint="eastAsia"/>
          <w:bCs/>
          <w:szCs w:val="21"/>
        </w:rPr>
        <w:t>減少</w:t>
      </w:r>
      <w:r>
        <w:rPr>
          <w:rFonts w:asciiTheme="minorEastAsia" w:hAnsiTheme="minorEastAsia" w:hint="eastAsia"/>
          <w:bCs/>
          <w:szCs w:val="21"/>
        </w:rPr>
        <w:t>」と「50～30％減少」（いずれも</w:t>
      </w:r>
      <w:r w:rsidR="008A1AC3">
        <w:rPr>
          <w:rFonts w:asciiTheme="minorEastAsia" w:hAnsiTheme="minorEastAsia" w:hint="eastAsia"/>
          <w:bCs/>
          <w:szCs w:val="21"/>
        </w:rPr>
        <w:t>19.1</w:t>
      </w:r>
      <w:r w:rsidR="006E094F">
        <w:rPr>
          <w:rFonts w:asciiTheme="minorEastAsia" w:hAnsiTheme="minorEastAsia" w:hint="eastAsia"/>
          <w:bCs/>
          <w:szCs w:val="21"/>
        </w:rPr>
        <w:t>％）が高かった</w:t>
      </w:r>
      <w:r>
        <w:rPr>
          <w:rFonts w:asciiTheme="minorEastAsia" w:hAnsiTheme="minorEastAsia" w:hint="eastAsia"/>
          <w:bCs/>
          <w:szCs w:val="21"/>
        </w:rPr>
        <w:t>。「50％超減少」は15.7％だった。</w:t>
      </w:r>
    </w:p>
    <w:p w14:paraId="17193024" w14:textId="21FCE941" w:rsidR="00546BDD" w:rsidRPr="005038D4" w:rsidRDefault="005038D4" w:rsidP="00546BDD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5038D4">
        <w:rPr>
          <w:rFonts w:asciiTheme="minorEastAsia" w:hAnsiTheme="minorEastAsia" w:hint="eastAsia"/>
          <w:bCs/>
          <w:szCs w:val="21"/>
        </w:rPr>
        <w:t>『30％以上減少』は34.8％となった。</w:t>
      </w:r>
    </w:p>
    <w:p w14:paraId="5AA0C670" w14:textId="77777777" w:rsidR="004479C9" w:rsidRPr="00844184" w:rsidRDefault="004479C9" w:rsidP="004479C9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szCs w:val="21"/>
        </w:rPr>
      </w:pPr>
    </w:p>
    <w:p w14:paraId="420791E5" w14:textId="36151369" w:rsidR="00694470" w:rsidRPr="00844184" w:rsidRDefault="004479C9" w:rsidP="004479C9">
      <w:pPr>
        <w:snapToGrid w:val="0"/>
        <w:spacing w:line="276" w:lineRule="auto"/>
        <w:rPr>
          <w:b/>
          <w:sz w:val="24"/>
          <w:szCs w:val="24"/>
        </w:rPr>
      </w:pPr>
      <w:r w:rsidRPr="00844184">
        <w:rPr>
          <w:rFonts w:hint="eastAsia"/>
          <w:b/>
          <w:sz w:val="24"/>
          <w:szCs w:val="24"/>
        </w:rPr>
        <w:t>業種別</w:t>
      </w:r>
    </w:p>
    <w:p w14:paraId="6F73B9A8" w14:textId="0E554864" w:rsidR="004479C9" w:rsidRDefault="00844184" w:rsidP="00844184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宿泊業は「50％超減少」が100％、飲食業も「50％超減少」が66.7％と高かった。</w:t>
      </w:r>
    </w:p>
    <w:p w14:paraId="78C6F044" w14:textId="32B5BD76" w:rsidR="00844184" w:rsidRPr="00844184" w:rsidRDefault="00844184" w:rsidP="00844184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製造業は「50～30％減少」が最も高かった。</w:t>
      </w:r>
    </w:p>
    <w:p w14:paraId="68D61EC4" w14:textId="77777777" w:rsidR="004479C9" w:rsidRPr="00844184" w:rsidRDefault="004479C9" w:rsidP="004479C9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szCs w:val="21"/>
        </w:rPr>
      </w:pPr>
    </w:p>
    <w:p w14:paraId="06AE767F" w14:textId="24160425" w:rsidR="004479C9" w:rsidRPr="00844184" w:rsidRDefault="004479C9" w:rsidP="004479C9">
      <w:pPr>
        <w:snapToGrid w:val="0"/>
        <w:spacing w:line="276" w:lineRule="auto"/>
        <w:rPr>
          <w:b/>
          <w:sz w:val="24"/>
          <w:szCs w:val="24"/>
        </w:rPr>
      </w:pPr>
      <w:r w:rsidRPr="00844184">
        <w:rPr>
          <w:rFonts w:hint="eastAsia"/>
          <w:b/>
          <w:sz w:val="24"/>
          <w:szCs w:val="24"/>
        </w:rPr>
        <w:t>従業員規模別</w:t>
      </w:r>
    </w:p>
    <w:p w14:paraId="6F6B3CBA" w14:textId="347B0C64" w:rsidR="004479C9" w:rsidRPr="00844184" w:rsidRDefault="00844184" w:rsidP="00844184">
      <w:pPr>
        <w:pStyle w:val="a3"/>
        <w:numPr>
          <w:ilvl w:val="0"/>
          <w:numId w:val="6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844184">
        <w:rPr>
          <w:rFonts w:asciiTheme="minorEastAsia" w:hAnsiTheme="minorEastAsia" w:hint="eastAsia"/>
          <w:bCs/>
          <w:szCs w:val="21"/>
        </w:rPr>
        <w:t>「50％超減少」した事業所の割合は、「10人未満」（22.4％）が最も高く、次いで「100人以上</w:t>
      </w:r>
      <w:r>
        <w:rPr>
          <w:rFonts w:asciiTheme="minorEastAsia" w:hAnsiTheme="minorEastAsia" w:hint="eastAsia"/>
          <w:bCs/>
          <w:szCs w:val="21"/>
        </w:rPr>
        <w:t>」（17.6％）が高かった。</w:t>
      </w:r>
    </w:p>
    <w:p w14:paraId="779D94DC" w14:textId="7364ACFC" w:rsidR="00AC0461" w:rsidRPr="00844184" w:rsidRDefault="00AC0461" w:rsidP="00546BDD">
      <w:pPr>
        <w:snapToGrid w:val="0"/>
        <w:spacing w:line="276" w:lineRule="auto"/>
        <w:rPr>
          <w:rFonts w:asciiTheme="minorEastAsia" w:hAnsiTheme="minorEastAsia"/>
          <w:bCs/>
          <w:szCs w:val="21"/>
        </w:rPr>
      </w:pPr>
    </w:p>
    <w:p w14:paraId="784D437E" w14:textId="1196A29E" w:rsidR="00AC0461" w:rsidRDefault="00AC0461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5AE9516D" w14:textId="77777777" w:rsidR="00844184" w:rsidRPr="00985CEC" w:rsidRDefault="0084418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6C784AB6" w14:textId="6CA36CD8" w:rsidR="00D72150" w:rsidRPr="00985CEC" w:rsidRDefault="00414E19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>
        <w:rPr>
          <w:noProof/>
          <w:lang w:bidi="hi-IN"/>
        </w:rPr>
        <w:drawing>
          <wp:inline distT="0" distB="0" distL="0" distR="0" wp14:anchorId="54938F35" wp14:editId="4782F735">
            <wp:extent cx="5400000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26503F" w14:textId="62155261" w:rsidR="00483226" w:rsidRPr="00985CEC" w:rsidRDefault="00483226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628E91E5" w14:textId="77777777" w:rsidR="00483226" w:rsidRPr="00985CEC" w:rsidRDefault="00483226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647C9C06" w14:textId="62E0B799" w:rsidR="00694470" w:rsidRPr="00985CEC" w:rsidRDefault="00821333" w:rsidP="00483226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821333">
        <w:rPr>
          <w:noProof/>
        </w:rPr>
        <w:lastRenderedPageBreak/>
        <w:drawing>
          <wp:inline distT="0" distB="0" distL="0" distR="0" wp14:anchorId="632A2300" wp14:editId="22158C44">
            <wp:extent cx="5400040" cy="4259932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AAACB" w14:textId="77777777" w:rsidR="001639DF" w:rsidRPr="00985CEC" w:rsidRDefault="001639DF" w:rsidP="00694470">
      <w:pPr>
        <w:snapToGrid w:val="0"/>
        <w:rPr>
          <w:b/>
          <w:color w:val="FF0000"/>
          <w:sz w:val="24"/>
          <w:szCs w:val="24"/>
        </w:rPr>
      </w:pPr>
    </w:p>
    <w:p w14:paraId="6CE2DF70" w14:textId="18FD0A1B" w:rsidR="001639DF" w:rsidRDefault="00715B14" w:rsidP="00694470">
      <w:pPr>
        <w:snapToGrid w:val="0"/>
        <w:rPr>
          <w:b/>
          <w:color w:val="FF0000"/>
          <w:sz w:val="24"/>
          <w:szCs w:val="24"/>
        </w:rPr>
      </w:pPr>
      <w:r w:rsidRPr="00715B14">
        <w:rPr>
          <w:noProof/>
          <w:lang w:bidi="hi-IN"/>
        </w:rPr>
        <w:drawing>
          <wp:inline distT="0" distB="0" distL="0" distR="0" wp14:anchorId="39678AC6" wp14:editId="5CBD07FF">
            <wp:extent cx="5400040" cy="1709926"/>
            <wp:effectExtent l="0" t="0" r="0" b="508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74099" w14:textId="1ECBFD30" w:rsidR="00414E19" w:rsidRDefault="00414E19" w:rsidP="00694470">
      <w:pPr>
        <w:snapToGrid w:val="0"/>
        <w:rPr>
          <w:b/>
          <w:color w:val="FF0000"/>
          <w:sz w:val="24"/>
          <w:szCs w:val="24"/>
        </w:rPr>
      </w:pPr>
    </w:p>
    <w:p w14:paraId="12BCE212" w14:textId="77777777" w:rsidR="00414E19" w:rsidRPr="00985CEC" w:rsidRDefault="00414E19" w:rsidP="00694470">
      <w:pPr>
        <w:snapToGrid w:val="0"/>
        <w:rPr>
          <w:b/>
          <w:color w:val="FF0000"/>
          <w:sz w:val="24"/>
          <w:szCs w:val="24"/>
        </w:rPr>
      </w:pPr>
    </w:p>
    <w:p w14:paraId="54843385" w14:textId="77777777" w:rsidR="00414E19" w:rsidRDefault="00414E19">
      <w:pPr>
        <w:widowControl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431F0FCD" w14:textId="2521B22B" w:rsidR="00694470" w:rsidRPr="00283BE5" w:rsidRDefault="00283BE5" w:rsidP="00694470">
      <w:pPr>
        <w:snapToGrid w:val="0"/>
        <w:rPr>
          <w:b/>
          <w:sz w:val="24"/>
          <w:szCs w:val="24"/>
        </w:rPr>
      </w:pPr>
      <w:r w:rsidRPr="00283BE5">
        <w:rPr>
          <w:rFonts w:hint="eastAsia"/>
          <w:b/>
          <w:sz w:val="24"/>
          <w:szCs w:val="24"/>
        </w:rPr>
        <w:lastRenderedPageBreak/>
        <w:t>②７～</w:t>
      </w:r>
      <w:r w:rsidRPr="00283BE5">
        <w:rPr>
          <w:rFonts w:hint="eastAsia"/>
          <w:b/>
          <w:sz w:val="24"/>
          <w:szCs w:val="24"/>
        </w:rPr>
        <w:t>9</w:t>
      </w:r>
      <w:r w:rsidRPr="00283BE5">
        <w:rPr>
          <w:rFonts w:hint="eastAsia"/>
          <w:b/>
          <w:sz w:val="24"/>
          <w:szCs w:val="24"/>
        </w:rPr>
        <w:t>月期の売上見込み（対前年比）</w:t>
      </w:r>
    </w:p>
    <w:p w14:paraId="144EB9CA" w14:textId="77777777" w:rsidR="00D72150" w:rsidRPr="00985CEC" w:rsidRDefault="00D72150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25D3404E" w14:textId="77777777" w:rsidR="001639DF" w:rsidRPr="005038D4" w:rsidRDefault="001639DF" w:rsidP="001639DF">
      <w:pPr>
        <w:snapToGrid w:val="0"/>
        <w:spacing w:line="276" w:lineRule="auto"/>
        <w:rPr>
          <w:b/>
          <w:sz w:val="24"/>
          <w:szCs w:val="24"/>
        </w:rPr>
      </w:pPr>
      <w:r w:rsidRPr="005038D4">
        <w:rPr>
          <w:b/>
          <w:sz w:val="24"/>
          <w:szCs w:val="24"/>
        </w:rPr>
        <w:t>全体</w:t>
      </w:r>
    </w:p>
    <w:p w14:paraId="0395A891" w14:textId="334D7ADF" w:rsidR="001639DF" w:rsidRDefault="005038D4" w:rsidP="001639DF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5038D4">
        <w:rPr>
          <w:rFonts w:asciiTheme="minorEastAsia" w:hAnsiTheme="minorEastAsia" w:hint="eastAsia"/>
          <w:bCs/>
          <w:szCs w:val="21"/>
        </w:rPr>
        <w:t>『増加』は累計で1割程度にとどま</w:t>
      </w:r>
      <w:r>
        <w:rPr>
          <w:rFonts w:asciiTheme="minorEastAsia" w:hAnsiTheme="minorEastAsia" w:hint="eastAsia"/>
          <w:bCs/>
          <w:szCs w:val="21"/>
        </w:rPr>
        <w:t>り、4～6</w:t>
      </w:r>
      <w:r w:rsidR="006E094F">
        <w:rPr>
          <w:rFonts w:asciiTheme="minorEastAsia" w:hAnsiTheme="minorEastAsia" w:hint="eastAsia"/>
          <w:bCs/>
          <w:szCs w:val="21"/>
        </w:rPr>
        <w:t>月実績よりも割合は低かった</w:t>
      </w:r>
      <w:r>
        <w:rPr>
          <w:rFonts w:asciiTheme="minorEastAsia" w:hAnsiTheme="minorEastAsia" w:hint="eastAsia"/>
          <w:bCs/>
          <w:szCs w:val="21"/>
        </w:rPr>
        <w:t>。</w:t>
      </w:r>
    </w:p>
    <w:p w14:paraId="6795F55C" w14:textId="6622A0FC" w:rsidR="005038D4" w:rsidRPr="005038D4" w:rsidRDefault="005038D4" w:rsidP="005038D4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5038D4">
        <w:rPr>
          <w:rFonts w:asciiTheme="minorEastAsia" w:hAnsiTheme="minorEastAsia" w:hint="eastAsia"/>
          <w:bCs/>
          <w:szCs w:val="21"/>
        </w:rPr>
        <w:t>『減少』の内訳は、</w:t>
      </w:r>
      <w:r>
        <w:rPr>
          <w:rFonts w:asciiTheme="minorEastAsia" w:hAnsiTheme="minorEastAsia" w:hint="eastAsia"/>
          <w:bCs/>
          <w:szCs w:val="21"/>
        </w:rPr>
        <w:t>「30％未満～10％減少」（33.2</w:t>
      </w:r>
      <w:r w:rsidR="006E094F">
        <w:rPr>
          <w:rFonts w:asciiTheme="minorEastAsia" w:hAnsiTheme="minorEastAsia" w:hint="eastAsia"/>
          <w:bCs/>
          <w:szCs w:val="21"/>
        </w:rPr>
        <w:t>％）が最も高く</w:t>
      </w:r>
      <w:r>
        <w:rPr>
          <w:rFonts w:asciiTheme="minorEastAsia" w:hAnsiTheme="minorEastAsia" w:hint="eastAsia"/>
          <w:bCs/>
          <w:szCs w:val="21"/>
        </w:rPr>
        <w:t>、次いで「10％未満</w:t>
      </w:r>
      <w:r w:rsidR="008A1AC3">
        <w:rPr>
          <w:rFonts w:asciiTheme="minorEastAsia" w:hAnsiTheme="minorEastAsia" w:hint="eastAsia"/>
          <w:bCs/>
          <w:szCs w:val="21"/>
        </w:rPr>
        <w:t>減少</w:t>
      </w:r>
      <w:r>
        <w:rPr>
          <w:rFonts w:asciiTheme="minorEastAsia" w:hAnsiTheme="minorEastAsia" w:hint="eastAsia"/>
          <w:bCs/>
          <w:szCs w:val="21"/>
        </w:rPr>
        <w:t>」（22.3％）、「50～30％減少」（21.6</w:t>
      </w:r>
      <w:r w:rsidR="006E094F">
        <w:rPr>
          <w:rFonts w:asciiTheme="minorEastAsia" w:hAnsiTheme="minorEastAsia" w:hint="eastAsia"/>
          <w:bCs/>
          <w:szCs w:val="21"/>
        </w:rPr>
        <w:t>％）の順で高かった</w:t>
      </w:r>
      <w:r>
        <w:rPr>
          <w:rFonts w:asciiTheme="minorEastAsia" w:hAnsiTheme="minorEastAsia" w:hint="eastAsia"/>
          <w:bCs/>
          <w:szCs w:val="21"/>
        </w:rPr>
        <w:t>。</w:t>
      </w:r>
    </w:p>
    <w:p w14:paraId="3AEAED05" w14:textId="635A33C5" w:rsidR="005038D4" w:rsidRPr="005038D4" w:rsidRDefault="005038D4" w:rsidP="005038D4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5038D4">
        <w:rPr>
          <w:rFonts w:asciiTheme="minorEastAsia" w:hAnsiTheme="minorEastAsia" w:hint="eastAsia"/>
          <w:bCs/>
          <w:szCs w:val="21"/>
        </w:rPr>
        <w:t>『30％以上減少』は</w:t>
      </w:r>
      <w:r>
        <w:rPr>
          <w:rFonts w:asciiTheme="minorEastAsia" w:hAnsiTheme="minorEastAsia" w:hint="eastAsia"/>
          <w:bCs/>
          <w:szCs w:val="21"/>
        </w:rPr>
        <w:t>31.6</w:t>
      </w:r>
      <w:r w:rsidRPr="005038D4">
        <w:rPr>
          <w:rFonts w:asciiTheme="minorEastAsia" w:hAnsiTheme="minorEastAsia" w:hint="eastAsia"/>
          <w:bCs/>
          <w:szCs w:val="21"/>
        </w:rPr>
        <w:t>％と</w:t>
      </w:r>
      <w:r>
        <w:rPr>
          <w:rFonts w:asciiTheme="minorEastAsia" w:hAnsiTheme="minorEastAsia" w:hint="eastAsia"/>
          <w:bCs/>
          <w:szCs w:val="21"/>
        </w:rPr>
        <w:t>なり、「50％超減少」は10.0％だった。</w:t>
      </w:r>
    </w:p>
    <w:p w14:paraId="1F70739B" w14:textId="77777777" w:rsidR="001639DF" w:rsidRPr="00844184" w:rsidRDefault="001639DF" w:rsidP="001639DF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szCs w:val="21"/>
        </w:rPr>
      </w:pPr>
    </w:p>
    <w:p w14:paraId="380FCC3D" w14:textId="77777777" w:rsidR="001639DF" w:rsidRPr="00844184" w:rsidRDefault="001639DF" w:rsidP="001639DF">
      <w:pPr>
        <w:snapToGrid w:val="0"/>
        <w:spacing w:line="276" w:lineRule="auto"/>
        <w:rPr>
          <w:b/>
          <w:sz w:val="24"/>
          <w:szCs w:val="24"/>
        </w:rPr>
      </w:pPr>
      <w:r w:rsidRPr="00844184">
        <w:rPr>
          <w:rFonts w:hint="eastAsia"/>
          <w:b/>
          <w:sz w:val="24"/>
          <w:szCs w:val="24"/>
        </w:rPr>
        <w:t>業種別</w:t>
      </w:r>
    </w:p>
    <w:p w14:paraId="15B05B79" w14:textId="691106FB" w:rsidR="001639DF" w:rsidRPr="00844184" w:rsidRDefault="00844184" w:rsidP="00844184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844184">
        <w:rPr>
          <w:rFonts w:asciiTheme="minorEastAsia" w:hAnsiTheme="minorEastAsia" w:hint="eastAsia"/>
          <w:bCs/>
          <w:szCs w:val="21"/>
        </w:rPr>
        <w:t>「宿泊業」は「50％超減少」</w:t>
      </w:r>
      <w:r>
        <w:rPr>
          <w:rFonts w:asciiTheme="minorEastAsia" w:hAnsiTheme="minorEastAsia" w:hint="eastAsia"/>
          <w:bCs/>
          <w:szCs w:val="21"/>
        </w:rPr>
        <w:t>が83.3％と引き続き厳しい状況を見込んでいる。「飲食業も</w:t>
      </w:r>
      <w:r w:rsidRPr="00844184">
        <w:rPr>
          <w:rFonts w:asciiTheme="minorEastAsia" w:hAnsiTheme="minorEastAsia" w:hint="eastAsia"/>
          <w:bCs/>
          <w:szCs w:val="21"/>
        </w:rPr>
        <w:t>「50％超減少」</w:t>
      </w:r>
      <w:r>
        <w:rPr>
          <w:rFonts w:asciiTheme="minorEastAsia" w:hAnsiTheme="minorEastAsia" w:hint="eastAsia"/>
          <w:bCs/>
          <w:szCs w:val="21"/>
        </w:rPr>
        <w:t>は33.3％と高いが、4～6月実績と比較すると</w:t>
      </w:r>
      <w:r w:rsidRPr="00844184">
        <w:rPr>
          <w:rFonts w:asciiTheme="minorEastAsia" w:hAnsiTheme="minorEastAsia" w:hint="eastAsia"/>
          <w:bCs/>
          <w:szCs w:val="21"/>
        </w:rPr>
        <w:t>「50％超減少」</w:t>
      </w:r>
      <w:r>
        <w:rPr>
          <w:rFonts w:asciiTheme="minorEastAsia" w:hAnsiTheme="minorEastAsia" w:hint="eastAsia"/>
          <w:bCs/>
          <w:szCs w:val="21"/>
        </w:rPr>
        <w:t>の回答割合は半減している。</w:t>
      </w:r>
    </w:p>
    <w:p w14:paraId="29B1DAFE" w14:textId="77777777" w:rsidR="001639DF" w:rsidRPr="00985CEC" w:rsidRDefault="001639DF" w:rsidP="001639DF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color w:val="FF0000"/>
          <w:szCs w:val="21"/>
        </w:rPr>
      </w:pPr>
    </w:p>
    <w:p w14:paraId="272B184B" w14:textId="77777777" w:rsidR="001639DF" w:rsidRPr="00844184" w:rsidRDefault="001639DF" w:rsidP="001639DF">
      <w:pPr>
        <w:snapToGrid w:val="0"/>
        <w:spacing w:line="276" w:lineRule="auto"/>
        <w:rPr>
          <w:b/>
          <w:sz w:val="24"/>
          <w:szCs w:val="24"/>
        </w:rPr>
      </w:pPr>
      <w:r w:rsidRPr="00844184">
        <w:rPr>
          <w:rFonts w:hint="eastAsia"/>
          <w:b/>
          <w:sz w:val="24"/>
          <w:szCs w:val="24"/>
        </w:rPr>
        <w:t>従業員規模別</w:t>
      </w:r>
    </w:p>
    <w:p w14:paraId="7D0AF037" w14:textId="308D47CF" w:rsidR="001639DF" w:rsidRPr="00844184" w:rsidRDefault="00844184" w:rsidP="00401A10">
      <w:pPr>
        <w:pStyle w:val="a3"/>
        <w:numPr>
          <w:ilvl w:val="0"/>
          <w:numId w:val="6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844184">
        <w:rPr>
          <w:rFonts w:asciiTheme="minorEastAsia" w:hAnsiTheme="minorEastAsia" w:hint="eastAsia"/>
          <w:bCs/>
          <w:szCs w:val="21"/>
        </w:rPr>
        <w:t>全ての従業員規模階層で</w:t>
      </w:r>
      <w:r w:rsidR="000A6DA8">
        <w:rPr>
          <w:rFonts w:asciiTheme="minorEastAsia" w:hAnsiTheme="minorEastAsia" w:hint="eastAsia"/>
          <w:bCs/>
          <w:szCs w:val="21"/>
        </w:rPr>
        <w:t>「30％未満～10％減少」の割合が最も高かった。</w:t>
      </w:r>
    </w:p>
    <w:p w14:paraId="41B629AD" w14:textId="0F1FF44A" w:rsidR="00D72150" w:rsidRPr="00844184" w:rsidRDefault="00D72150" w:rsidP="00AC0461">
      <w:pPr>
        <w:snapToGrid w:val="0"/>
        <w:rPr>
          <w:rFonts w:asciiTheme="minorEastAsia" w:hAnsiTheme="minorEastAsia"/>
          <w:b/>
          <w:szCs w:val="21"/>
        </w:rPr>
      </w:pPr>
    </w:p>
    <w:p w14:paraId="6702F88D" w14:textId="77777777" w:rsidR="00D72150" w:rsidRPr="00985CEC" w:rsidRDefault="00D72150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578D68B8" w14:textId="19F3CB55" w:rsidR="00D72150" w:rsidRPr="00985CEC" w:rsidRDefault="00414E19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>
        <w:rPr>
          <w:noProof/>
          <w:lang w:bidi="hi-IN"/>
        </w:rPr>
        <w:drawing>
          <wp:inline distT="0" distB="0" distL="0" distR="0" wp14:anchorId="38CC3008" wp14:editId="6573BB3C">
            <wp:extent cx="5400000" cy="3600000"/>
            <wp:effectExtent l="0" t="0" r="0" b="635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8A0C1B9" w14:textId="0A34B6CB" w:rsidR="00D72150" w:rsidRPr="00985CEC" w:rsidRDefault="00D72150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23554265" w14:textId="18E0DC75" w:rsidR="00D72150" w:rsidRPr="00985CEC" w:rsidRDefault="00D72150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09492ECD" w14:textId="2983DA41" w:rsidR="008B1EBA" w:rsidRPr="00985CEC" w:rsidRDefault="008B1EBA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477E3732" w14:textId="75A77EF8" w:rsidR="002F24A7" w:rsidRPr="00985CEC" w:rsidRDefault="002F24A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35BEE030" w14:textId="33165A50" w:rsidR="002F24A7" w:rsidRPr="00985CEC" w:rsidRDefault="003B052F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3B052F">
        <w:rPr>
          <w:noProof/>
        </w:rPr>
        <w:lastRenderedPageBreak/>
        <w:drawing>
          <wp:inline distT="0" distB="0" distL="0" distR="0" wp14:anchorId="03838A81" wp14:editId="0A643D92">
            <wp:extent cx="5400040" cy="4259932"/>
            <wp:effectExtent l="0" t="0" r="0" b="762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0301" w14:textId="2DEFC684" w:rsidR="002F24A7" w:rsidRPr="00985CEC" w:rsidRDefault="002F24A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629F8E84" w14:textId="14CD649E" w:rsidR="002F24A7" w:rsidRDefault="00715B1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715B14">
        <w:rPr>
          <w:noProof/>
          <w:lang w:bidi="hi-IN"/>
        </w:rPr>
        <w:drawing>
          <wp:inline distT="0" distB="0" distL="0" distR="0" wp14:anchorId="63EF7F26" wp14:editId="2A0692B5">
            <wp:extent cx="5400040" cy="1709926"/>
            <wp:effectExtent l="0" t="0" r="0" b="508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C534" w14:textId="77777777" w:rsidR="00715B14" w:rsidRPr="00985CEC" w:rsidRDefault="00715B1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46913D3C" w14:textId="77777777" w:rsidR="00732C62" w:rsidRPr="00985CEC" w:rsidRDefault="00732C62">
      <w:pPr>
        <w:widowControl/>
        <w:jc w:val="left"/>
        <w:rPr>
          <w:b/>
          <w:color w:val="FF0000"/>
          <w:sz w:val="24"/>
          <w:szCs w:val="24"/>
        </w:rPr>
      </w:pPr>
      <w:r w:rsidRPr="00985CEC">
        <w:rPr>
          <w:b/>
          <w:color w:val="FF0000"/>
          <w:sz w:val="24"/>
          <w:szCs w:val="24"/>
        </w:rPr>
        <w:br w:type="page"/>
      </w:r>
    </w:p>
    <w:p w14:paraId="109489D2" w14:textId="1C4697C6" w:rsidR="008B1EBA" w:rsidRPr="00283BE5" w:rsidRDefault="00283BE5" w:rsidP="00AC0461">
      <w:pPr>
        <w:snapToGrid w:val="0"/>
        <w:rPr>
          <w:b/>
          <w:sz w:val="24"/>
          <w:szCs w:val="24"/>
        </w:rPr>
      </w:pPr>
      <w:r w:rsidRPr="00283BE5">
        <w:rPr>
          <w:rFonts w:hint="eastAsia"/>
          <w:b/>
          <w:sz w:val="24"/>
          <w:szCs w:val="24"/>
        </w:rPr>
        <w:lastRenderedPageBreak/>
        <w:t>③コロナ以前の経営状態に戻る時期について</w:t>
      </w:r>
    </w:p>
    <w:p w14:paraId="27BED436" w14:textId="77777777" w:rsidR="00186328" w:rsidRPr="005038D4" w:rsidRDefault="00186328" w:rsidP="00AC0461">
      <w:pPr>
        <w:snapToGrid w:val="0"/>
        <w:rPr>
          <w:rFonts w:asciiTheme="minorEastAsia" w:hAnsiTheme="minorEastAsia"/>
          <w:b/>
          <w:szCs w:val="21"/>
        </w:rPr>
      </w:pPr>
    </w:p>
    <w:p w14:paraId="57C08AB0" w14:textId="77777777" w:rsidR="00055041" w:rsidRPr="005038D4" w:rsidRDefault="00055041" w:rsidP="00055041">
      <w:pPr>
        <w:snapToGrid w:val="0"/>
        <w:spacing w:line="276" w:lineRule="auto"/>
        <w:rPr>
          <w:b/>
          <w:sz w:val="24"/>
          <w:szCs w:val="24"/>
        </w:rPr>
      </w:pPr>
      <w:r w:rsidRPr="005038D4">
        <w:rPr>
          <w:b/>
          <w:sz w:val="24"/>
          <w:szCs w:val="24"/>
        </w:rPr>
        <w:t>全体</w:t>
      </w:r>
    </w:p>
    <w:p w14:paraId="10957674" w14:textId="7010C5B0" w:rsidR="00055041" w:rsidRPr="006E094F" w:rsidRDefault="006E094F" w:rsidP="00055041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6E094F">
        <w:rPr>
          <w:rFonts w:asciiTheme="minorEastAsia" w:hAnsiTheme="minorEastAsia" w:hint="eastAsia"/>
          <w:bCs/>
          <w:szCs w:val="21"/>
        </w:rPr>
        <w:t>「わからない</w:t>
      </w:r>
      <w:r w:rsidR="00055041" w:rsidRPr="006E094F">
        <w:rPr>
          <w:rFonts w:asciiTheme="minorEastAsia" w:hAnsiTheme="minorEastAsia" w:hint="eastAsia"/>
          <w:bCs/>
          <w:szCs w:val="21"/>
        </w:rPr>
        <w:t>」が</w:t>
      </w:r>
      <w:r w:rsidRPr="006E094F">
        <w:rPr>
          <w:rFonts w:asciiTheme="minorEastAsia" w:hAnsiTheme="minorEastAsia" w:hint="eastAsia"/>
          <w:bCs/>
          <w:szCs w:val="21"/>
        </w:rPr>
        <w:t>34.2</w:t>
      </w:r>
      <w:r w:rsidR="00055041" w:rsidRPr="006E094F">
        <w:rPr>
          <w:rFonts w:asciiTheme="minorEastAsia" w:hAnsiTheme="minorEastAsia" w:hint="eastAsia"/>
          <w:bCs/>
          <w:szCs w:val="21"/>
        </w:rPr>
        <w:t>％で最も高かった。</w:t>
      </w:r>
    </w:p>
    <w:p w14:paraId="2A6648A8" w14:textId="4F6EA50C" w:rsidR="00055041" w:rsidRDefault="0036140F" w:rsidP="00055041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36140F">
        <w:rPr>
          <w:rFonts w:asciiTheme="minorEastAsia" w:hAnsiTheme="minorEastAsia" w:hint="eastAsia"/>
          <w:bCs/>
          <w:szCs w:val="21"/>
        </w:rPr>
        <w:t>「わからない」を</w:t>
      </w:r>
      <w:r>
        <w:rPr>
          <w:rFonts w:asciiTheme="minorEastAsia" w:hAnsiTheme="minorEastAsia" w:hint="eastAsia"/>
          <w:bCs/>
          <w:szCs w:val="21"/>
        </w:rPr>
        <w:t>除けば、「1年以上」（27.3％）が高く、次いで「1年程度」（20.7％）の順となった。</w:t>
      </w:r>
    </w:p>
    <w:p w14:paraId="62BE8B5C" w14:textId="2E8D954A" w:rsidR="0036140F" w:rsidRPr="0036140F" w:rsidRDefault="0036140F" w:rsidP="00055041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「10月頃」は6.9％にとどまった。</w:t>
      </w:r>
    </w:p>
    <w:p w14:paraId="50EE04ED" w14:textId="77777777" w:rsidR="00055041" w:rsidRPr="00985CEC" w:rsidRDefault="00055041" w:rsidP="00055041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color w:val="FF0000"/>
          <w:szCs w:val="21"/>
        </w:rPr>
      </w:pPr>
    </w:p>
    <w:p w14:paraId="563FC832" w14:textId="77777777" w:rsidR="00055041" w:rsidRPr="00DD55A8" w:rsidRDefault="00055041" w:rsidP="00055041">
      <w:pPr>
        <w:snapToGrid w:val="0"/>
        <w:spacing w:line="276" w:lineRule="auto"/>
        <w:rPr>
          <w:b/>
          <w:sz w:val="24"/>
          <w:szCs w:val="24"/>
        </w:rPr>
      </w:pPr>
      <w:r w:rsidRPr="00DD55A8">
        <w:rPr>
          <w:rFonts w:hint="eastAsia"/>
          <w:b/>
          <w:sz w:val="24"/>
          <w:szCs w:val="24"/>
        </w:rPr>
        <w:t>業種別</w:t>
      </w:r>
    </w:p>
    <w:p w14:paraId="3E1EC394" w14:textId="0E259B11" w:rsidR="00055041" w:rsidRPr="00DD55A8" w:rsidRDefault="00DD55A8" w:rsidP="00DD55A8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DD55A8">
        <w:rPr>
          <w:rFonts w:asciiTheme="minorEastAsia" w:hAnsiTheme="minorEastAsia" w:hint="eastAsia"/>
          <w:bCs/>
          <w:szCs w:val="21"/>
        </w:rPr>
        <w:t>「医療・福祉」は「10月頃」が55.6％と高かった。</w:t>
      </w:r>
    </w:p>
    <w:p w14:paraId="53BA8DD4" w14:textId="48AEAA15" w:rsidR="00DD55A8" w:rsidRPr="00DD55A8" w:rsidRDefault="00DD55A8" w:rsidP="00DD55A8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「宿泊業」は「1年以上」が50.0％と高かった。</w:t>
      </w:r>
    </w:p>
    <w:p w14:paraId="7D7F1AED" w14:textId="77777777" w:rsidR="00055041" w:rsidRPr="00985CEC" w:rsidRDefault="00055041" w:rsidP="00055041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color w:val="FF0000"/>
          <w:szCs w:val="21"/>
        </w:rPr>
      </w:pPr>
    </w:p>
    <w:p w14:paraId="1038E5D2" w14:textId="77777777" w:rsidR="00055041" w:rsidRPr="00DD55A8" w:rsidRDefault="00055041" w:rsidP="00055041">
      <w:pPr>
        <w:snapToGrid w:val="0"/>
        <w:spacing w:line="276" w:lineRule="auto"/>
        <w:rPr>
          <w:b/>
          <w:sz w:val="24"/>
          <w:szCs w:val="24"/>
        </w:rPr>
      </w:pPr>
      <w:r w:rsidRPr="00DD55A8">
        <w:rPr>
          <w:rFonts w:hint="eastAsia"/>
          <w:b/>
          <w:sz w:val="24"/>
          <w:szCs w:val="24"/>
        </w:rPr>
        <w:t>従業員規模別</w:t>
      </w:r>
    </w:p>
    <w:p w14:paraId="6FC66511" w14:textId="097A60EA" w:rsidR="008B1EBA" w:rsidRPr="00DD55A8" w:rsidRDefault="00DD55A8" w:rsidP="00055041">
      <w:pPr>
        <w:pStyle w:val="a3"/>
        <w:numPr>
          <w:ilvl w:val="0"/>
          <w:numId w:val="7"/>
        </w:numPr>
        <w:snapToGrid w:val="0"/>
        <w:ind w:leftChars="0"/>
        <w:rPr>
          <w:rFonts w:asciiTheme="minorEastAsia" w:hAnsiTheme="minorEastAsia"/>
          <w:b/>
          <w:szCs w:val="21"/>
        </w:rPr>
      </w:pPr>
      <w:r w:rsidRPr="00DD55A8">
        <w:rPr>
          <w:rFonts w:asciiTheme="minorEastAsia" w:hAnsiTheme="minorEastAsia" w:hint="eastAsia"/>
          <w:bCs/>
          <w:szCs w:val="21"/>
        </w:rPr>
        <w:t>いずれの従業員規模階層とも</w:t>
      </w:r>
      <w:r>
        <w:rPr>
          <w:rFonts w:asciiTheme="minorEastAsia" w:hAnsiTheme="minorEastAsia" w:hint="eastAsia"/>
          <w:bCs/>
          <w:szCs w:val="21"/>
        </w:rPr>
        <w:t>「10月頃」「12～1月頃」の回答割合が低く、向こう半年間は厳しい状況が続くと見込んでいる。</w:t>
      </w:r>
    </w:p>
    <w:p w14:paraId="54416B06" w14:textId="6782A84C" w:rsidR="008B1EBA" w:rsidRPr="00985CEC" w:rsidRDefault="008B1EBA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1A7F5CAE" w14:textId="77777777" w:rsidR="000321CE" w:rsidRPr="00985CEC" w:rsidRDefault="000321CE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414FFB58" w14:textId="5037626B" w:rsidR="008B1EBA" w:rsidRPr="00985CEC" w:rsidRDefault="008B1EBA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77C77CDB" w14:textId="05CB8714" w:rsidR="00186328" w:rsidRPr="00985CEC" w:rsidRDefault="00715B1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>
        <w:rPr>
          <w:noProof/>
          <w:lang w:bidi="hi-IN"/>
        </w:rPr>
        <w:drawing>
          <wp:inline distT="0" distB="0" distL="0" distR="0" wp14:anchorId="6C09BB1E" wp14:editId="51A51BAB">
            <wp:extent cx="5400000" cy="3600000"/>
            <wp:effectExtent l="0" t="0" r="0" b="635"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EDEA98E" w14:textId="5F1B7B8F" w:rsidR="00186328" w:rsidRPr="00985CEC" w:rsidRDefault="00186328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3C600806" w14:textId="4B20974F" w:rsidR="00186328" w:rsidRPr="00985CEC" w:rsidRDefault="00186328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3C599654" w14:textId="7A8FF629" w:rsidR="00186328" w:rsidRPr="00985CEC" w:rsidRDefault="00A97A3E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A97A3E">
        <w:rPr>
          <w:noProof/>
        </w:rPr>
        <w:lastRenderedPageBreak/>
        <w:drawing>
          <wp:inline distT="0" distB="0" distL="0" distR="0" wp14:anchorId="6B1C6D88" wp14:editId="6E372B2E">
            <wp:extent cx="5400040" cy="5248681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6283" w14:textId="1ECA59E8" w:rsidR="002F24A7" w:rsidRPr="00985CEC" w:rsidRDefault="002F24A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53E7CA6F" w14:textId="45C7CD2F" w:rsidR="002F24A7" w:rsidRDefault="00715B1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715B14">
        <w:rPr>
          <w:noProof/>
          <w:lang w:bidi="hi-IN"/>
        </w:rPr>
        <w:drawing>
          <wp:inline distT="0" distB="0" distL="0" distR="0" wp14:anchorId="6FB6C32E" wp14:editId="159B22BD">
            <wp:extent cx="5400040" cy="2106807"/>
            <wp:effectExtent l="0" t="0" r="0" b="825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99D1" w14:textId="77777777" w:rsidR="00715B14" w:rsidRPr="00985CEC" w:rsidRDefault="00715B1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28ADFD12" w14:textId="2DD212FA" w:rsidR="000321CE" w:rsidRPr="00985CEC" w:rsidRDefault="000321CE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985CEC">
        <w:rPr>
          <w:rFonts w:asciiTheme="minorEastAsia" w:hAnsiTheme="minorEastAsia"/>
          <w:b/>
          <w:color w:val="FF0000"/>
          <w:szCs w:val="21"/>
        </w:rPr>
        <w:br w:type="page"/>
      </w:r>
    </w:p>
    <w:p w14:paraId="6F2EB977" w14:textId="7E37B0E0" w:rsidR="000321CE" w:rsidRPr="005038D4" w:rsidRDefault="005038D4" w:rsidP="00AC0461">
      <w:pPr>
        <w:snapToGrid w:val="0"/>
        <w:rPr>
          <w:rFonts w:asciiTheme="minorEastAsia" w:hAnsiTheme="minorEastAsia"/>
          <w:b/>
          <w:szCs w:val="21"/>
        </w:rPr>
      </w:pPr>
      <w:r w:rsidRPr="005038D4">
        <w:rPr>
          <w:rFonts w:hint="eastAsia"/>
          <w:b/>
          <w:sz w:val="24"/>
          <w:szCs w:val="24"/>
        </w:rPr>
        <w:lastRenderedPageBreak/>
        <w:t>④休業や営業時間短縮などの実施状況</w:t>
      </w:r>
      <w:r w:rsidR="00DD55A8">
        <w:rPr>
          <w:rFonts w:hint="eastAsia"/>
          <w:b/>
          <w:sz w:val="24"/>
          <w:szCs w:val="24"/>
        </w:rPr>
        <w:t>（複数回答）</w:t>
      </w:r>
    </w:p>
    <w:p w14:paraId="564AC313" w14:textId="0D2A9F06" w:rsidR="000321CE" w:rsidRPr="00985CEC" w:rsidRDefault="000321CE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0878EAD7" w14:textId="77777777" w:rsidR="00BF2DE3" w:rsidRPr="00DF4155" w:rsidRDefault="00BF2DE3" w:rsidP="00BF2DE3">
      <w:pPr>
        <w:snapToGrid w:val="0"/>
        <w:spacing w:line="276" w:lineRule="auto"/>
        <w:rPr>
          <w:b/>
          <w:sz w:val="24"/>
          <w:szCs w:val="24"/>
        </w:rPr>
      </w:pPr>
      <w:bookmarkStart w:id="1" w:name="_Hlk34208186"/>
      <w:r w:rsidRPr="00DF4155">
        <w:rPr>
          <w:b/>
          <w:sz w:val="24"/>
          <w:szCs w:val="24"/>
        </w:rPr>
        <w:t>全体</w:t>
      </w:r>
    </w:p>
    <w:p w14:paraId="618D0E5A" w14:textId="3647BFB7" w:rsidR="00F5214D" w:rsidRDefault="00DF4155" w:rsidP="00DF4155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DF4155">
        <w:rPr>
          <w:rFonts w:asciiTheme="minorEastAsia" w:hAnsiTheme="minorEastAsia" w:hint="eastAsia"/>
          <w:bCs/>
          <w:szCs w:val="21"/>
        </w:rPr>
        <w:t>「休業</w:t>
      </w:r>
      <w:r>
        <w:rPr>
          <w:rFonts w:asciiTheme="minorEastAsia" w:hAnsiTheme="minorEastAsia" w:hint="eastAsia"/>
          <w:bCs/>
          <w:szCs w:val="21"/>
        </w:rPr>
        <w:t>（一部休業を含む）を実施」が</w:t>
      </w:r>
      <w:r w:rsidR="008A1AC3">
        <w:rPr>
          <w:rFonts w:asciiTheme="minorEastAsia" w:hAnsiTheme="minorEastAsia" w:hint="eastAsia"/>
          <w:bCs/>
          <w:szCs w:val="21"/>
        </w:rPr>
        <w:t>41.4</w:t>
      </w:r>
      <w:r>
        <w:rPr>
          <w:rFonts w:asciiTheme="minorEastAsia" w:hAnsiTheme="minorEastAsia" w:hint="eastAsia"/>
          <w:bCs/>
          <w:szCs w:val="21"/>
        </w:rPr>
        <w:t>％、</w:t>
      </w:r>
      <w:r w:rsidR="00DD55A8">
        <w:rPr>
          <w:rFonts w:asciiTheme="minorEastAsia" w:hAnsiTheme="minorEastAsia" w:hint="eastAsia"/>
          <w:bCs/>
          <w:szCs w:val="21"/>
        </w:rPr>
        <w:t>「</w:t>
      </w:r>
      <w:r>
        <w:rPr>
          <w:rFonts w:asciiTheme="minorEastAsia" w:hAnsiTheme="minorEastAsia" w:hint="eastAsia"/>
          <w:bCs/>
          <w:szCs w:val="21"/>
        </w:rPr>
        <w:t>営業時間短縮を実施</w:t>
      </w:r>
      <w:r w:rsidR="00DD55A8">
        <w:rPr>
          <w:rFonts w:asciiTheme="minorEastAsia" w:hAnsiTheme="minorEastAsia" w:hint="eastAsia"/>
          <w:bCs/>
          <w:szCs w:val="21"/>
        </w:rPr>
        <w:t>」</w:t>
      </w:r>
      <w:r>
        <w:rPr>
          <w:rFonts w:asciiTheme="minorEastAsia" w:hAnsiTheme="minorEastAsia" w:hint="eastAsia"/>
          <w:bCs/>
          <w:szCs w:val="21"/>
        </w:rPr>
        <w:t>が</w:t>
      </w:r>
      <w:r w:rsidR="008A1AC3">
        <w:rPr>
          <w:rFonts w:asciiTheme="minorEastAsia" w:hAnsiTheme="minorEastAsia" w:hint="eastAsia"/>
          <w:bCs/>
          <w:szCs w:val="21"/>
        </w:rPr>
        <w:t>20.4</w:t>
      </w:r>
      <w:r>
        <w:rPr>
          <w:rFonts w:asciiTheme="minorEastAsia" w:hAnsiTheme="minorEastAsia" w:hint="eastAsia"/>
          <w:bCs/>
          <w:szCs w:val="21"/>
        </w:rPr>
        <w:t>％となった。</w:t>
      </w:r>
    </w:p>
    <w:p w14:paraId="5BCEDF1B" w14:textId="05D28591" w:rsidR="00DD55A8" w:rsidRPr="00DF4155" w:rsidRDefault="00DD55A8" w:rsidP="00DF4155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「実施していない」は</w:t>
      </w:r>
      <w:r w:rsidR="008A1AC3">
        <w:rPr>
          <w:rFonts w:asciiTheme="minorEastAsia" w:hAnsiTheme="minorEastAsia" w:hint="eastAsia"/>
          <w:bCs/>
          <w:szCs w:val="21"/>
        </w:rPr>
        <w:t>48.3</w:t>
      </w:r>
      <w:r>
        <w:rPr>
          <w:rFonts w:asciiTheme="minorEastAsia" w:hAnsiTheme="minorEastAsia" w:hint="eastAsia"/>
          <w:bCs/>
          <w:szCs w:val="21"/>
        </w:rPr>
        <w:t>％だった。</w:t>
      </w:r>
    </w:p>
    <w:p w14:paraId="76592DF1" w14:textId="77777777" w:rsidR="00BF2DE3" w:rsidRPr="00985CEC" w:rsidRDefault="00BF2DE3" w:rsidP="00BF2DE3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color w:val="FF0000"/>
          <w:szCs w:val="21"/>
        </w:rPr>
      </w:pPr>
    </w:p>
    <w:p w14:paraId="56446D9C" w14:textId="77777777" w:rsidR="00BF2DE3" w:rsidRPr="00156889" w:rsidRDefault="00BF2DE3" w:rsidP="00BF2DE3">
      <w:pPr>
        <w:snapToGrid w:val="0"/>
        <w:spacing w:line="276" w:lineRule="auto"/>
        <w:rPr>
          <w:b/>
          <w:sz w:val="24"/>
          <w:szCs w:val="24"/>
        </w:rPr>
      </w:pPr>
      <w:r w:rsidRPr="00156889">
        <w:rPr>
          <w:rFonts w:hint="eastAsia"/>
          <w:b/>
          <w:sz w:val="24"/>
          <w:szCs w:val="24"/>
        </w:rPr>
        <w:t>業種別</w:t>
      </w:r>
    </w:p>
    <w:p w14:paraId="3F65FE95" w14:textId="77777777" w:rsidR="00156889" w:rsidRDefault="00156889" w:rsidP="00D74F98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156889">
        <w:rPr>
          <w:rFonts w:asciiTheme="minorEastAsia" w:hAnsiTheme="minorEastAsia" w:hint="eastAsia"/>
          <w:bCs/>
          <w:szCs w:val="21"/>
        </w:rPr>
        <w:t>「休業（一部休業を含む）を実施」は「宿泊業」（100.0％）、「飲食業」80.0％が高かった。</w:t>
      </w:r>
    </w:p>
    <w:p w14:paraId="6EB5B09E" w14:textId="3AC2BCBC" w:rsidR="00BF2DE3" w:rsidRDefault="008A1AC3" w:rsidP="00D74F98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「営業時間短縮を実施</w:t>
      </w:r>
      <w:r w:rsidR="00156889" w:rsidRPr="00156889">
        <w:rPr>
          <w:rFonts w:asciiTheme="minorEastAsia" w:hAnsiTheme="minorEastAsia" w:hint="eastAsia"/>
          <w:bCs/>
          <w:szCs w:val="21"/>
        </w:rPr>
        <w:t>」は「飲食業」（60.0％）、「小売業」（57.9％）が</w:t>
      </w:r>
      <w:r w:rsidR="00156889">
        <w:rPr>
          <w:rFonts w:asciiTheme="minorEastAsia" w:hAnsiTheme="minorEastAsia" w:hint="eastAsia"/>
          <w:bCs/>
          <w:szCs w:val="21"/>
        </w:rPr>
        <w:t>高かった。</w:t>
      </w:r>
    </w:p>
    <w:p w14:paraId="22719A9F" w14:textId="187AB29C" w:rsidR="00156889" w:rsidRPr="00156889" w:rsidRDefault="00156889" w:rsidP="00D74F98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「実施していない」は「情報・通信業」（94.1％）、「建設業」（85.3％）、「金融・保険・士業」（81.3％）、「医療・福祉」（77.8％）が高かった。</w:t>
      </w:r>
    </w:p>
    <w:p w14:paraId="40097656" w14:textId="77777777" w:rsidR="00BF2DE3" w:rsidRPr="00156889" w:rsidRDefault="00BF2DE3" w:rsidP="00BF2DE3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szCs w:val="21"/>
        </w:rPr>
      </w:pPr>
    </w:p>
    <w:p w14:paraId="460D8B0C" w14:textId="77777777" w:rsidR="00BF2DE3" w:rsidRPr="00156889" w:rsidRDefault="00BF2DE3" w:rsidP="00BF2DE3">
      <w:pPr>
        <w:snapToGrid w:val="0"/>
        <w:spacing w:line="276" w:lineRule="auto"/>
        <w:rPr>
          <w:b/>
          <w:sz w:val="24"/>
          <w:szCs w:val="24"/>
        </w:rPr>
      </w:pPr>
      <w:r w:rsidRPr="00156889">
        <w:rPr>
          <w:rFonts w:hint="eastAsia"/>
          <w:b/>
          <w:sz w:val="24"/>
          <w:szCs w:val="24"/>
        </w:rPr>
        <w:t>従業員規模別</w:t>
      </w:r>
    </w:p>
    <w:p w14:paraId="109C21FB" w14:textId="24E0A3C0" w:rsidR="00BF2DE3" w:rsidRPr="00AE7F0F" w:rsidRDefault="00156889" w:rsidP="00BF2DE3">
      <w:pPr>
        <w:pStyle w:val="a3"/>
        <w:numPr>
          <w:ilvl w:val="0"/>
          <w:numId w:val="7"/>
        </w:numPr>
        <w:snapToGrid w:val="0"/>
        <w:ind w:leftChars="0"/>
        <w:rPr>
          <w:rFonts w:asciiTheme="minorEastAsia" w:hAnsiTheme="minorEastAsia"/>
          <w:b/>
          <w:szCs w:val="21"/>
        </w:rPr>
      </w:pPr>
      <w:r w:rsidRPr="00156889">
        <w:rPr>
          <w:rFonts w:asciiTheme="minorEastAsia" w:hAnsiTheme="minorEastAsia" w:hint="eastAsia"/>
          <w:bCs/>
          <w:szCs w:val="21"/>
        </w:rPr>
        <w:t>「休業（一部休業を含む）を実施」</w:t>
      </w:r>
      <w:r w:rsidR="00AE7F0F">
        <w:rPr>
          <w:rFonts w:asciiTheme="minorEastAsia" w:hAnsiTheme="minorEastAsia" w:hint="eastAsia"/>
          <w:bCs/>
          <w:szCs w:val="21"/>
        </w:rPr>
        <w:t>は従業員規模が大きいほど回答割合も高くなる傾向がみられた。</w:t>
      </w:r>
    </w:p>
    <w:p w14:paraId="58F6D4A4" w14:textId="6E0B9A0E" w:rsidR="00AE7F0F" w:rsidRPr="00156889" w:rsidRDefault="00AE7F0F" w:rsidP="00BF2DE3">
      <w:pPr>
        <w:pStyle w:val="a3"/>
        <w:numPr>
          <w:ilvl w:val="0"/>
          <w:numId w:val="7"/>
        </w:numPr>
        <w:snapToGrid w:val="0"/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Cs/>
          <w:szCs w:val="21"/>
        </w:rPr>
        <w:t>「</w:t>
      </w:r>
      <w:r w:rsidR="00D74F98">
        <w:rPr>
          <w:rFonts w:asciiTheme="minorEastAsia" w:hAnsiTheme="minorEastAsia" w:hint="eastAsia"/>
          <w:bCs/>
          <w:szCs w:val="21"/>
        </w:rPr>
        <w:t>10人未満」は「実施していない」が65.3％と高かった。</w:t>
      </w:r>
    </w:p>
    <w:bookmarkEnd w:id="1"/>
    <w:p w14:paraId="37236AF8" w14:textId="64CB7200" w:rsidR="000321CE" w:rsidRPr="00985CEC" w:rsidRDefault="000321CE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6BE155E5" w14:textId="34CECB23" w:rsidR="000321CE" w:rsidRPr="00985CEC" w:rsidRDefault="000321CE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7C53D2C1" w14:textId="084E8D40" w:rsidR="00DE7A14" w:rsidRPr="00985CEC" w:rsidRDefault="00156889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>
        <w:rPr>
          <w:noProof/>
          <w:lang w:bidi="hi-IN"/>
        </w:rPr>
        <w:drawing>
          <wp:inline distT="0" distB="0" distL="0" distR="0" wp14:anchorId="488D95EF" wp14:editId="29A4351A">
            <wp:extent cx="5400000" cy="3600000"/>
            <wp:effectExtent l="0" t="0" r="0" b="63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1242883" w14:textId="55F1BB2D" w:rsidR="00DE7A14" w:rsidRPr="00985CEC" w:rsidRDefault="00DE7A1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62857329" w14:textId="53D181F9" w:rsidR="000321CE" w:rsidRPr="00985CEC" w:rsidRDefault="000321CE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27741E73" w14:textId="349A2D06" w:rsidR="007C4FB7" w:rsidRPr="00985CEC" w:rsidRDefault="00B92F8C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B92F8C">
        <w:rPr>
          <w:noProof/>
        </w:rPr>
        <w:lastRenderedPageBreak/>
        <w:drawing>
          <wp:inline distT="0" distB="0" distL="0" distR="0" wp14:anchorId="16F59CFC" wp14:editId="5143E44D">
            <wp:extent cx="4514850" cy="41052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33C4" w14:textId="77777777" w:rsidR="007C4FB7" w:rsidRPr="00985CEC" w:rsidRDefault="007C4FB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684083D2" w14:textId="56E3B3AF" w:rsidR="008B1EBA" w:rsidRPr="00985CEC" w:rsidRDefault="00486FD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486FD7">
        <w:rPr>
          <w:noProof/>
          <w:lang w:bidi="hi-IN"/>
        </w:rPr>
        <w:drawing>
          <wp:inline distT="0" distB="0" distL="0" distR="0" wp14:anchorId="25439927" wp14:editId="14A9F333">
            <wp:extent cx="4514215" cy="1878330"/>
            <wp:effectExtent l="0" t="0" r="635" b="762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F7D6" w14:textId="0BF12DD8" w:rsidR="00AC185A" w:rsidRPr="00985CEC" w:rsidRDefault="00AC185A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53A2FA6E" w14:textId="3F2BC9F0" w:rsidR="002F24A7" w:rsidRPr="00985CEC" w:rsidRDefault="002F24A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0DEEC073" w14:textId="5508B276" w:rsidR="002F24A7" w:rsidRPr="00985CEC" w:rsidRDefault="002F24A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5F25CC55" w14:textId="4A8B40A1" w:rsidR="002F24A7" w:rsidRPr="00985CEC" w:rsidRDefault="002F24A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5B3B2D10" w14:textId="77777777" w:rsidR="002F24A7" w:rsidRPr="00985CEC" w:rsidRDefault="002F24A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4E181CAB" w14:textId="1E66D8F0" w:rsidR="00B9605A" w:rsidRPr="00985CEC" w:rsidRDefault="00B9605A">
      <w:pPr>
        <w:widowControl/>
        <w:jc w:val="left"/>
        <w:rPr>
          <w:rFonts w:asciiTheme="minorEastAsia" w:hAnsiTheme="minorEastAsia"/>
          <w:b/>
          <w:color w:val="FF0000"/>
          <w:szCs w:val="21"/>
        </w:rPr>
      </w:pPr>
      <w:r w:rsidRPr="00985CEC">
        <w:rPr>
          <w:rFonts w:asciiTheme="minorEastAsia" w:hAnsiTheme="minorEastAsia"/>
          <w:b/>
          <w:color w:val="FF0000"/>
          <w:szCs w:val="21"/>
        </w:rPr>
        <w:br w:type="page"/>
      </w:r>
    </w:p>
    <w:p w14:paraId="54C56B66" w14:textId="280F8AD7" w:rsidR="00B9605A" w:rsidRPr="005038D4" w:rsidRDefault="00B9605A" w:rsidP="00B9605A">
      <w:pPr>
        <w:snapToGrid w:val="0"/>
        <w:rPr>
          <w:rFonts w:asciiTheme="minorEastAsia" w:eastAsia="PMingLiU" w:hAnsiTheme="minorEastAsia"/>
          <w:b/>
          <w:szCs w:val="21"/>
        </w:rPr>
      </w:pPr>
      <w:r w:rsidRPr="005038D4">
        <w:rPr>
          <w:rFonts w:hint="eastAsia"/>
          <w:b/>
          <w:sz w:val="24"/>
          <w:szCs w:val="24"/>
        </w:rPr>
        <w:lastRenderedPageBreak/>
        <w:t>⑤</w:t>
      </w:r>
      <w:r w:rsidR="005038D4" w:rsidRPr="005038D4">
        <w:rPr>
          <w:rFonts w:hint="eastAsia"/>
          <w:b/>
          <w:sz w:val="24"/>
          <w:szCs w:val="24"/>
        </w:rPr>
        <w:t>感染拡大防止のために実施した取り組み</w:t>
      </w:r>
      <w:r w:rsidR="005038D4">
        <w:rPr>
          <w:rFonts w:hint="eastAsia"/>
          <w:b/>
          <w:sz w:val="24"/>
          <w:szCs w:val="24"/>
        </w:rPr>
        <w:t>（複数回答）</w:t>
      </w:r>
    </w:p>
    <w:p w14:paraId="6A9D28CE" w14:textId="46E3698C" w:rsidR="00AC185A" w:rsidRPr="00985CEC" w:rsidRDefault="00AC185A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086D2F04" w14:textId="77777777" w:rsidR="00E554A3" w:rsidRPr="00DF4155" w:rsidRDefault="00E554A3" w:rsidP="00E554A3">
      <w:pPr>
        <w:snapToGrid w:val="0"/>
        <w:spacing w:line="276" w:lineRule="auto"/>
        <w:rPr>
          <w:b/>
          <w:sz w:val="24"/>
          <w:szCs w:val="24"/>
        </w:rPr>
      </w:pPr>
      <w:bookmarkStart w:id="2" w:name="_Hlk34209319"/>
      <w:r w:rsidRPr="00DF4155">
        <w:rPr>
          <w:b/>
          <w:sz w:val="24"/>
          <w:szCs w:val="24"/>
        </w:rPr>
        <w:t>全体</w:t>
      </w:r>
    </w:p>
    <w:p w14:paraId="0B2CEE97" w14:textId="6FB2B933" w:rsidR="00786B3F" w:rsidRPr="00DF4155" w:rsidRDefault="00DF4155" w:rsidP="00E554A3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DF4155">
        <w:rPr>
          <w:rFonts w:asciiTheme="minorEastAsia" w:hAnsiTheme="minorEastAsia" w:hint="eastAsia"/>
          <w:bCs/>
          <w:szCs w:val="21"/>
        </w:rPr>
        <w:t>「社内でのマスクの着用」が86.5％で最も高く、次いで「オフィス入口や執務室入口での手指消毒」（80.9％）、「社内の窓・ドアの開放」（79.6％）の順に高かった。</w:t>
      </w:r>
    </w:p>
    <w:p w14:paraId="5FB1518B" w14:textId="6724DB2D" w:rsidR="00E554A3" w:rsidRPr="00DF4155" w:rsidRDefault="00DF4155" w:rsidP="00E554A3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DF4155">
        <w:rPr>
          <w:rFonts w:asciiTheme="minorEastAsia" w:hAnsiTheme="minorEastAsia" w:hint="eastAsia"/>
          <w:bCs/>
          <w:szCs w:val="21"/>
        </w:rPr>
        <w:t>「テレワーク（在宅勤務含む）」は</w:t>
      </w:r>
      <w:r w:rsidR="008A1AC3">
        <w:rPr>
          <w:rFonts w:asciiTheme="minorEastAsia" w:hAnsiTheme="minorEastAsia" w:hint="eastAsia"/>
          <w:bCs/>
          <w:szCs w:val="21"/>
        </w:rPr>
        <w:t>33.2</w:t>
      </w:r>
      <w:r w:rsidRPr="00DF4155">
        <w:rPr>
          <w:rFonts w:asciiTheme="minorEastAsia" w:hAnsiTheme="minorEastAsia" w:hint="eastAsia"/>
          <w:bCs/>
          <w:szCs w:val="21"/>
        </w:rPr>
        <w:t>％、「時差出勤」は25.1％だった。</w:t>
      </w:r>
    </w:p>
    <w:p w14:paraId="6FAE29BB" w14:textId="77777777" w:rsidR="00E554A3" w:rsidRPr="00985CEC" w:rsidRDefault="00E554A3" w:rsidP="00E554A3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color w:val="FF0000"/>
          <w:szCs w:val="21"/>
        </w:rPr>
      </w:pPr>
    </w:p>
    <w:p w14:paraId="0783E452" w14:textId="77777777" w:rsidR="00E554A3" w:rsidRPr="00D74F98" w:rsidRDefault="00E554A3" w:rsidP="00E554A3">
      <w:pPr>
        <w:snapToGrid w:val="0"/>
        <w:spacing w:line="276" w:lineRule="auto"/>
        <w:rPr>
          <w:b/>
          <w:sz w:val="24"/>
          <w:szCs w:val="24"/>
        </w:rPr>
      </w:pPr>
      <w:r w:rsidRPr="00D74F98">
        <w:rPr>
          <w:rFonts w:hint="eastAsia"/>
          <w:b/>
          <w:sz w:val="24"/>
          <w:szCs w:val="24"/>
        </w:rPr>
        <w:t>業種別</w:t>
      </w:r>
    </w:p>
    <w:p w14:paraId="512CA8D5" w14:textId="5D686097" w:rsidR="00E554A3" w:rsidRPr="00D74F98" w:rsidRDefault="00D74F98" w:rsidP="00D74F98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D74F98">
        <w:rPr>
          <w:rFonts w:asciiTheme="minorEastAsia" w:hAnsiTheme="minorEastAsia" w:hint="eastAsia"/>
          <w:bCs/>
          <w:szCs w:val="21"/>
        </w:rPr>
        <w:t>「情報・通信業」と「金融・保険・士業」は、「テレワーク（在宅勤務含む）」が相対的に高かった。</w:t>
      </w:r>
    </w:p>
    <w:p w14:paraId="22E4124A" w14:textId="53EAE678" w:rsidR="00D74F98" w:rsidRPr="00D74F98" w:rsidRDefault="00D74F98" w:rsidP="00D74F98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D74F98">
        <w:rPr>
          <w:rFonts w:asciiTheme="minorEastAsia" w:hAnsiTheme="minorEastAsia" w:hint="eastAsia"/>
          <w:bCs/>
          <w:szCs w:val="21"/>
        </w:rPr>
        <w:t>「医療・福祉」は、「県外等からの来訪者受入禁止」が相対的に高かった。</w:t>
      </w:r>
    </w:p>
    <w:p w14:paraId="3955CCB2" w14:textId="77777777" w:rsidR="00E554A3" w:rsidRPr="00D74F98" w:rsidRDefault="00E554A3" w:rsidP="00E554A3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szCs w:val="21"/>
        </w:rPr>
      </w:pPr>
    </w:p>
    <w:p w14:paraId="2B9A8FEC" w14:textId="77777777" w:rsidR="00E554A3" w:rsidRPr="00D74F98" w:rsidRDefault="00E554A3" w:rsidP="00E554A3">
      <w:pPr>
        <w:snapToGrid w:val="0"/>
        <w:spacing w:line="276" w:lineRule="auto"/>
        <w:rPr>
          <w:b/>
          <w:sz w:val="24"/>
          <w:szCs w:val="24"/>
        </w:rPr>
      </w:pPr>
      <w:r w:rsidRPr="00D74F98">
        <w:rPr>
          <w:rFonts w:hint="eastAsia"/>
          <w:b/>
          <w:sz w:val="24"/>
          <w:szCs w:val="24"/>
        </w:rPr>
        <w:t>従業員規模別</w:t>
      </w:r>
    </w:p>
    <w:p w14:paraId="3147169D" w14:textId="2BDBC15A" w:rsidR="00E352B4" w:rsidRPr="00D74F98" w:rsidRDefault="00D74F98" w:rsidP="00D74F98">
      <w:pPr>
        <w:pStyle w:val="a3"/>
        <w:numPr>
          <w:ilvl w:val="0"/>
          <w:numId w:val="7"/>
        </w:numPr>
        <w:snapToGrid w:val="0"/>
        <w:spacing w:line="276" w:lineRule="auto"/>
        <w:ind w:leftChars="0"/>
        <w:rPr>
          <w:rFonts w:asciiTheme="minorEastAsia" w:hAnsiTheme="minorEastAsia"/>
          <w:b/>
          <w:szCs w:val="21"/>
        </w:rPr>
      </w:pPr>
      <w:r w:rsidRPr="00D74F98">
        <w:rPr>
          <w:rFonts w:asciiTheme="minorEastAsia" w:hAnsiTheme="minorEastAsia" w:hint="eastAsia"/>
          <w:bCs/>
          <w:szCs w:val="21"/>
        </w:rPr>
        <w:t>従業員規模が大きいほど、選ぶ選択肢数が多く、多様な感染拡大防止対策を行っていることがうかがえる。</w:t>
      </w:r>
    </w:p>
    <w:bookmarkEnd w:id="2"/>
    <w:p w14:paraId="00F89CC4" w14:textId="09940C55" w:rsidR="00B9605A" w:rsidRPr="00985CEC" w:rsidRDefault="00B9605A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12450449" w14:textId="64B5FD95" w:rsidR="00B9605A" w:rsidRPr="00985CEC" w:rsidRDefault="00486FD7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>
        <w:rPr>
          <w:noProof/>
          <w:lang w:bidi="hi-IN"/>
        </w:rPr>
        <w:drawing>
          <wp:inline distT="0" distB="0" distL="0" distR="0" wp14:anchorId="34CE2B93" wp14:editId="23F83AC8">
            <wp:extent cx="5399405" cy="4679092"/>
            <wp:effectExtent l="0" t="0" r="0" b="7620"/>
            <wp:docPr id="42" name="グラフ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BE61168" w14:textId="04369116" w:rsidR="00B9605A" w:rsidRPr="00985CEC" w:rsidRDefault="00B9605A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3C68A55A" w14:textId="6BB0A89C" w:rsidR="00B9605A" w:rsidRPr="00985CEC" w:rsidRDefault="00B92F8C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B92F8C">
        <w:rPr>
          <w:noProof/>
        </w:rPr>
        <w:lastRenderedPageBreak/>
        <w:drawing>
          <wp:inline distT="0" distB="0" distL="0" distR="0" wp14:anchorId="0AFEEB30" wp14:editId="6E7CA85F">
            <wp:extent cx="5400040" cy="56030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437B" w14:textId="5C7689B5" w:rsidR="00B9605A" w:rsidRPr="00985CEC" w:rsidRDefault="00B9605A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2438CD23" w14:textId="17D8970E" w:rsidR="006B054C" w:rsidRPr="00985CEC" w:rsidRDefault="004446E0" w:rsidP="00B92F8C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4446E0">
        <w:rPr>
          <w:noProof/>
          <w:lang w:bidi="hi-IN"/>
        </w:rPr>
        <w:drawing>
          <wp:inline distT="0" distB="0" distL="0" distR="0" wp14:anchorId="6B062EF0" wp14:editId="7EDC6FEA">
            <wp:extent cx="5400040" cy="2398429"/>
            <wp:effectExtent l="0" t="0" r="0" b="190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0EFBA" w14:textId="03F2A892" w:rsidR="00B9605A" w:rsidRPr="005038D4" w:rsidRDefault="006B054C" w:rsidP="00AC0461">
      <w:pPr>
        <w:snapToGrid w:val="0"/>
        <w:rPr>
          <w:rFonts w:asciiTheme="minorEastAsia" w:eastAsia="PMingLiU" w:hAnsiTheme="minorEastAsia"/>
          <w:b/>
          <w:szCs w:val="21"/>
        </w:rPr>
      </w:pPr>
      <w:r w:rsidRPr="005038D4">
        <w:rPr>
          <w:rFonts w:hint="eastAsia"/>
          <w:b/>
          <w:sz w:val="24"/>
          <w:szCs w:val="24"/>
        </w:rPr>
        <w:lastRenderedPageBreak/>
        <w:t>⑥</w:t>
      </w:r>
      <w:r w:rsidR="005038D4" w:rsidRPr="005038D4">
        <w:rPr>
          <w:rFonts w:hint="eastAsia"/>
          <w:b/>
          <w:sz w:val="24"/>
          <w:szCs w:val="24"/>
        </w:rPr>
        <w:t>2021</w:t>
      </w:r>
      <w:r w:rsidR="005038D4" w:rsidRPr="005038D4">
        <w:rPr>
          <w:rFonts w:hint="eastAsia"/>
          <w:b/>
          <w:sz w:val="24"/>
          <w:szCs w:val="24"/>
        </w:rPr>
        <w:t>年卒の採用予定について</w:t>
      </w:r>
    </w:p>
    <w:p w14:paraId="7B693D53" w14:textId="0F629AB5" w:rsidR="006B054C" w:rsidRPr="00985CEC" w:rsidRDefault="006B054C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200D9D3E" w14:textId="77777777" w:rsidR="0042307E" w:rsidRPr="00DF4155" w:rsidRDefault="0042307E" w:rsidP="0042307E">
      <w:pPr>
        <w:snapToGrid w:val="0"/>
        <w:spacing w:line="276" w:lineRule="auto"/>
        <w:rPr>
          <w:b/>
          <w:sz w:val="24"/>
          <w:szCs w:val="24"/>
        </w:rPr>
      </w:pPr>
      <w:r w:rsidRPr="00DF4155">
        <w:rPr>
          <w:b/>
          <w:sz w:val="24"/>
          <w:szCs w:val="24"/>
        </w:rPr>
        <w:t>全体</w:t>
      </w:r>
    </w:p>
    <w:p w14:paraId="45560F17" w14:textId="333FB84E" w:rsidR="0042307E" w:rsidRPr="00DF4155" w:rsidRDefault="00DF4155" w:rsidP="0042307E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DF4155">
        <w:rPr>
          <w:rFonts w:asciiTheme="minorEastAsia" w:hAnsiTheme="minorEastAsia" w:hint="eastAsia"/>
          <w:bCs/>
          <w:szCs w:val="21"/>
        </w:rPr>
        <w:t>「変更なし」が50.8％と過半数を占めた。「元々予定なし」は36.7％で、「見直す」は10.7％だった。</w:t>
      </w:r>
    </w:p>
    <w:p w14:paraId="2E8E694B" w14:textId="7048CB74" w:rsidR="00DF4155" w:rsidRPr="00DF4155" w:rsidRDefault="00DF4155" w:rsidP="0042307E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DF4155">
        <w:rPr>
          <w:rFonts w:asciiTheme="minorEastAsia" w:hAnsiTheme="minorEastAsia" w:hint="eastAsia"/>
          <w:bCs/>
          <w:szCs w:val="21"/>
        </w:rPr>
        <w:t>「見直す」（34件）の内訳は、中止が13件で最も多く、「減らす」の7件と合わせた『減らす・中止』</w:t>
      </w:r>
      <w:r>
        <w:rPr>
          <w:rFonts w:asciiTheme="minorEastAsia" w:hAnsiTheme="minorEastAsia" w:hint="eastAsia"/>
          <w:bCs/>
          <w:szCs w:val="21"/>
        </w:rPr>
        <w:t>は20件となった。「増やす」は8件だった。</w:t>
      </w:r>
    </w:p>
    <w:p w14:paraId="118DCEB5" w14:textId="77777777" w:rsidR="0042307E" w:rsidRPr="00985CEC" w:rsidRDefault="0042307E" w:rsidP="0042307E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color w:val="FF0000"/>
          <w:szCs w:val="21"/>
        </w:rPr>
      </w:pPr>
    </w:p>
    <w:p w14:paraId="78EE4E15" w14:textId="4AAE9DCF" w:rsidR="006B054C" w:rsidRDefault="006B054C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62F0E1CD" w14:textId="77777777" w:rsidR="00A06E4D" w:rsidRPr="00D74F98" w:rsidRDefault="00A06E4D" w:rsidP="00A06E4D">
      <w:pPr>
        <w:snapToGrid w:val="0"/>
        <w:spacing w:line="276" w:lineRule="auto"/>
        <w:rPr>
          <w:b/>
          <w:sz w:val="24"/>
          <w:szCs w:val="24"/>
        </w:rPr>
      </w:pPr>
      <w:r w:rsidRPr="00D74F98">
        <w:rPr>
          <w:rFonts w:hint="eastAsia"/>
          <w:b/>
          <w:sz w:val="24"/>
          <w:szCs w:val="24"/>
        </w:rPr>
        <w:t>業種別</w:t>
      </w:r>
    </w:p>
    <w:p w14:paraId="5A994AE6" w14:textId="3D5CC34B" w:rsidR="00A06E4D" w:rsidRPr="00A06E4D" w:rsidRDefault="00A06E4D" w:rsidP="00A06E4D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「宿泊」は「見直す」が66.7％と高かった。</w:t>
      </w:r>
    </w:p>
    <w:p w14:paraId="45DB4454" w14:textId="77777777" w:rsidR="00A06E4D" w:rsidRPr="00D74F98" w:rsidRDefault="00A06E4D" w:rsidP="00A06E4D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szCs w:val="21"/>
        </w:rPr>
      </w:pPr>
    </w:p>
    <w:p w14:paraId="07D91E24" w14:textId="77777777" w:rsidR="00A06E4D" w:rsidRPr="00D74F98" w:rsidRDefault="00A06E4D" w:rsidP="00A06E4D">
      <w:pPr>
        <w:snapToGrid w:val="0"/>
        <w:spacing w:line="276" w:lineRule="auto"/>
        <w:rPr>
          <w:b/>
          <w:sz w:val="24"/>
          <w:szCs w:val="24"/>
        </w:rPr>
      </w:pPr>
      <w:r w:rsidRPr="00D74F98">
        <w:rPr>
          <w:rFonts w:hint="eastAsia"/>
          <w:b/>
          <w:sz w:val="24"/>
          <w:szCs w:val="24"/>
        </w:rPr>
        <w:t>従業員規模別</w:t>
      </w:r>
    </w:p>
    <w:p w14:paraId="2F65F377" w14:textId="2D2CB018" w:rsidR="00A06E4D" w:rsidRPr="00D74F98" w:rsidRDefault="00A06E4D" w:rsidP="00A06E4D">
      <w:pPr>
        <w:pStyle w:val="a3"/>
        <w:numPr>
          <w:ilvl w:val="0"/>
          <w:numId w:val="7"/>
        </w:numPr>
        <w:snapToGrid w:val="0"/>
        <w:spacing w:line="276" w:lineRule="auto"/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Cs/>
          <w:szCs w:val="21"/>
        </w:rPr>
        <w:t>従業員規模が大きいほど、「変更なし」の割合が高く、「元々予定なし」の割合が低くなる傾向がみられた。</w:t>
      </w:r>
    </w:p>
    <w:p w14:paraId="427672E4" w14:textId="2AFFE35F" w:rsidR="00A06E4D" w:rsidRPr="00A06E4D" w:rsidRDefault="00A06E4D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702C9744" w14:textId="77777777" w:rsidR="005059D1" w:rsidRPr="00985CEC" w:rsidRDefault="005059D1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446191B1" w14:textId="77676A4E" w:rsidR="006B054C" w:rsidRPr="00985CEC" w:rsidRDefault="005059D1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>
        <w:rPr>
          <w:noProof/>
          <w:lang w:bidi="hi-IN"/>
        </w:rPr>
        <w:drawing>
          <wp:inline distT="0" distB="0" distL="0" distR="0" wp14:anchorId="1DE436C6" wp14:editId="5DCB7A0A">
            <wp:extent cx="5400000" cy="3600000"/>
            <wp:effectExtent l="0" t="0" r="0" b="635"/>
            <wp:docPr id="46" name="グラフ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5059D1">
        <w:rPr>
          <w:rFonts w:asciiTheme="minorEastAsia" w:hAnsiTheme="minorEastAsia"/>
          <w:b/>
          <w:color w:val="FF0000"/>
          <w:szCs w:val="21"/>
        </w:rPr>
        <w:t xml:space="preserve"> </w:t>
      </w:r>
    </w:p>
    <w:p w14:paraId="3A029BD6" w14:textId="098F2899" w:rsidR="00001114" w:rsidRDefault="00DF4155">
      <w:pPr>
        <w:widowControl/>
        <w:jc w:val="left"/>
        <w:rPr>
          <w:rFonts w:asciiTheme="minorEastAsia" w:hAnsiTheme="minorEastAsia"/>
          <w:b/>
          <w:color w:val="FF0000"/>
          <w:szCs w:val="21"/>
        </w:rPr>
      </w:pPr>
      <w:r w:rsidRPr="005059D1">
        <w:rPr>
          <w:noProof/>
          <w:lang w:bidi="hi-IN"/>
        </w:rPr>
        <w:drawing>
          <wp:anchor distT="0" distB="0" distL="114300" distR="114300" simplePos="0" relativeHeight="251662336" behindDoc="1" locked="0" layoutInCell="1" allowOverlap="1" wp14:anchorId="0217F02D" wp14:editId="7E22E4BC">
            <wp:simplePos x="0" y="0"/>
            <wp:positionH relativeFrom="margin">
              <wp:align>left</wp:align>
            </wp:positionH>
            <wp:positionV relativeFrom="paragraph">
              <wp:posOffset>4754</wp:posOffset>
            </wp:positionV>
            <wp:extent cx="1894840" cy="1078865"/>
            <wp:effectExtent l="0" t="0" r="0" b="698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114">
        <w:rPr>
          <w:rFonts w:asciiTheme="minorEastAsia" w:hAnsiTheme="minorEastAsia"/>
          <w:b/>
          <w:color w:val="FF0000"/>
          <w:szCs w:val="21"/>
        </w:rPr>
        <w:br w:type="page"/>
      </w:r>
    </w:p>
    <w:p w14:paraId="3F21FDFE" w14:textId="513921A4" w:rsidR="00A06E4D" w:rsidRDefault="00B92F8C" w:rsidP="00001114">
      <w:pPr>
        <w:snapToGrid w:val="0"/>
        <w:rPr>
          <w:b/>
          <w:sz w:val="24"/>
          <w:szCs w:val="24"/>
        </w:rPr>
      </w:pPr>
      <w:r w:rsidRPr="00B92F8C">
        <w:rPr>
          <w:noProof/>
        </w:rPr>
        <w:lastRenderedPageBreak/>
        <w:drawing>
          <wp:inline distT="0" distB="0" distL="0" distR="0" wp14:anchorId="169F42B5" wp14:editId="2E1E0882">
            <wp:extent cx="4514850" cy="3857625"/>
            <wp:effectExtent l="0" t="0" r="0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9FE08" w14:textId="77777777" w:rsidR="00A06E4D" w:rsidRDefault="00A06E4D" w:rsidP="00001114">
      <w:pPr>
        <w:snapToGrid w:val="0"/>
        <w:rPr>
          <w:b/>
          <w:sz w:val="24"/>
          <w:szCs w:val="24"/>
        </w:rPr>
      </w:pPr>
    </w:p>
    <w:p w14:paraId="68364CD2" w14:textId="14348C14" w:rsidR="00A06E4D" w:rsidRDefault="00FD0761" w:rsidP="00001114">
      <w:pPr>
        <w:snapToGrid w:val="0"/>
        <w:rPr>
          <w:b/>
          <w:sz w:val="24"/>
          <w:szCs w:val="24"/>
        </w:rPr>
      </w:pPr>
      <w:r w:rsidRPr="00FD0761">
        <w:rPr>
          <w:noProof/>
          <w:lang w:bidi="hi-IN"/>
        </w:rPr>
        <w:drawing>
          <wp:inline distT="0" distB="0" distL="0" distR="0" wp14:anchorId="0831BC13" wp14:editId="361D117C">
            <wp:extent cx="4514215" cy="1631315"/>
            <wp:effectExtent l="0" t="0" r="635" b="698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7B0FB" w14:textId="77777777" w:rsidR="00A06E4D" w:rsidRDefault="00A06E4D" w:rsidP="00001114">
      <w:pPr>
        <w:snapToGrid w:val="0"/>
        <w:rPr>
          <w:b/>
          <w:sz w:val="24"/>
          <w:szCs w:val="24"/>
        </w:rPr>
      </w:pPr>
    </w:p>
    <w:p w14:paraId="1A93C7A8" w14:textId="77777777" w:rsidR="00A06E4D" w:rsidRDefault="00A06E4D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CC930EC" w14:textId="6B3CE7C1" w:rsidR="00001114" w:rsidRPr="005038D4" w:rsidRDefault="00001114" w:rsidP="00001114">
      <w:pPr>
        <w:snapToGrid w:val="0"/>
        <w:rPr>
          <w:rFonts w:asciiTheme="minorEastAsia" w:eastAsia="PMingLiU" w:hAnsiTheme="minorEastAsia"/>
          <w:b/>
          <w:szCs w:val="21"/>
        </w:rPr>
      </w:pPr>
      <w:r w:rsidRPr="005038D4">
        <w:rPr>
          <w:rFonts w:hint="eastAsia"/>
          <w:b/>
          <w:sz w:val="24"/>
          <w:szCs w:val="24"/>
        </w:rPr>
        <w:lastRenderedPageBreak/>
        <w:t>⑦</w:t>
      </w:r>
      <w:r w:rsidR="005038D4" w:rsidRPr="005038D4">
        <w:rPr>
          <w:rFonts w:hint="eastAsia"/>
          <w:b/>
          <w:sz w:val="24"/>
          <w:szCs w:val="24"/>
        </w:rPr>
        <w:t>活用した（活用予定）の経済支援策</w:t>
      </w:r>
      <w:r w:rsidR="005038D4">
        <w:rPr>
          <w:rFonts w:hint="eastAsia"/>
          <w:b/>
          <w:sz w:val="24"/>
          <w:szCs w:val="24"/>
        </w:rPr>
        <w:t>（複数回答）</w:t>
      </w:r>
    </w:p>
    <w:p w14:paraId="2D66B643" w14:textId="77777777" w:rsidR="00001114" w:rsidRPr="00985CEC" w:rsidRDefault="00001114" w:rsidP="00001114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586AEABA" w14:textId="77777777" w:rsidR="00001114" w:rsidRPr="005B1738" w:rsidRDefault="00001114" w:rsidP="00001114">
      <w:pPr>
        <w:snapToGrid w:val="0"/>
        <w:spacing w:line="276" w:lineRule="auto"/>
        <w:rPr>
          <w:b/>
          <w:sz w:val="24"/>
          <w:szCs w:val="24"/>
        </w:rPr>
      </w:pPr>
      <w:r w:rsidRPr="005B1738">
        <w:rPr>
          <w:b/>
          <w:sz w:val="24"/>
          <w:szCs w:val="24"/>
        </w:rPr>
        <w:t>全体</w:t>
      </w:r>
    </w:p>
    <w:p w14:paraId="56EA77CF" w14:textId="73813DE4" w:rsidR="005B1738" w:rsidRPr="005B1738" w:rsidRDefault="005B1738" w:rsidP="005B1738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5B1738">
        <w:rPr>
          <w:rFonts w:asciiTheme="minorEastAsia" w:hAnsiTheme="minorEastAsia" w:hint="eastAsia"/>
          <w:bCs/>
          <w:szCs w:val="21"/>
        </w:rPr>
        <w:t>「雇用調整助成金」が39.8％で最も高く、次いで「無回答」（36.1％）、「持続化給付金」（29.2％）の順に高かった。</w:t>
      </w:r>
    </w:p>
    <w:p w14:paraId="403053CE" w14:textId="766DBDEA" w:rsidR="005B1738" w:rsidRPr="005B1738" w:rsidRDefault="005B1738" w:rsidP="005B1738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5B1738">
        <w:rPr>
          <w:rFonts w:asciiTheme="minorEastAsia" w:hAnsiTheme="minorEastAsia" w:hint="eastAsia"/>
          <w:bCs/>
          <w:szCs w:val="21"/>
        </w:rPr>
        <w:t>「活用していない」という選択肢がなかったため「無回答」の回答割合が高くなったと推測され、</w:t>
      </w:r>
      <w:r w:rsidR="006959A4">
        <w:rPr>
          <w:rFonts w:asciiTheme="minorEastAsia" w:hAnsiTheme="minorEastAsia" w:hint="eastAsia"/>
          <w:bCs/>
          <w:szCs w:val="21"/>
        </w:rPr>
        <w:t>6</w:t>
      </w:r>
      <w:r w:rsidRPr="005B1738">
        <w:rPr>
          <w:rFonts w:asciiTheme="minorEastAsia" w:hAnsiTheme="minorEastAsia" w:hint="eastAsia"/>
          <w:bCs/>
          <w:szCs w:val="21"/>
        </w:rPr>
        <w:t>割以上の事業所が何らかの経済支援策を活用</w:t>
      </w:r>
      <w:r>
        <w:rPr>
          <w:rFonts w:asciiTheme="minorEastAsia" w:hAnsiTheme="minorEastAsia" w:hint="eastAsia"/>
          <w:bCs/>
          <w:szCs w:val="21"/>
        </w:rPr>
        <w:t>している。</w:t>
      </w:r>
    </w:p>
    <w:p w14:paraId="74AFC136" w14:textId="77777777" w:rsidR="00001114" w:rsidRPr="00C7034D" w:rsidRDefault="00001114" w:rsidP="00001114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szCs w:val="21"/>
        </w:rPr>
      </w:pPr>
    </w:p>
    <w:p w14:paraId="15942709" w14:textId="77777777" w:rsidR="00001114" w:rsidRPr="00C7034D" w:rsidRDefault="00001114" w:rsidP="00001114">
      <w:pPr>
        <w:snapToGrid w:val="0"/>
        <w:spacing w:line="276" w:lineRule="auto"/>
        <w:rPr>
          <w:b/>
          <w:sz w:val="24"/>
          <w:szCs w:val="24"/>
        </w:rPr>
      </w:pPr>
      <w:r w:rsidRPr="00C7034D">
        <w:rPr>
          <w:rFonts w:hint="eastAsia"/>
          <w:b/>
          <w:sz w:val="24"/>
          <w:szCs w:val="24"/>
        </w:rPr>
        <w:t>業種別</w:t>
      </w:r>
    </w:p>
    <w:p w14:paraId="6FAA45D4" w14:textId="10371F75" w:rsidR="00001114" w:rsidRPr="00C7034D" w:rsidRDefault="005B1738" w:rsidP="00001114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C7034D">
        <w:rPr>
          <w:rFonts w:asciiTheme="minorEastAsia" w:hAnsiTheme="minorEastAsia" w:hint="eastAsia"/>
          <w:bCs/>
          <w:szCs w:val="21"/>
        </w:rPr>
        <w:t>「</w:t>
      </w:r>
      <w:r w:rsidR="00C7034D">
        <w:rPr>
          <w:rFonts w:asciiTheme="minorEastAsia" w:hAnsiTheme="minorEastAsia" w:hint="eastAsia"/>
          <w:bCs/>
          <w:szCs w:val="21"/>
        </w:rPr>
        <w:t>雇用調整助成金」は「飲食業」、「運輸業」、「宿泊業」、「製造業」が高かった。</w:t>
      </w:r>
    </w:p>
    <w:p w14:paraId="528B3044" w14:textId="6B655BB2" w:rsidR="00001114" w:rsidRPr="00C7034D" w:rsidRDefault="00C7034D" w:rsidP="00C7034D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「持続化給付金」は「飲食業」が高かった。</w:t>
      </w:r>
    </w:p>
    <w:p w14:paraId="40C787BB" w14:textId="77777777" w:rsidR="00001114" w:rsidRPr="00985CEC" w:rsidRDefault="00001114" w:rsidP="00001114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color w:val="FF0000"/>
          <w:szCs w:val="21"/>
        </w:rPr>
      </w:pPr>
    </w:p>
    <w:p w14:paraId="41AEE168" w14:textId="77777777" w:rsidR="00001114" w:rsidRPr="001A6DF5" w:rsidRDefault="00001114" w:rsidP="00001114">
      <w:pPr>
        <w:snapToGrid w:val="0"/>
        <w:spacing w:line="276" w:lineRule="auto"/>
        <w:rPr>
          <w:b/>
          <w:sz w:val="24"/>
          <w:szCs w:val="24"/>
        </w:rPr>
      </w:pPr>
      <w:r w:rsidRPr="001A6DF5">
        <w:rPr>
          <w:rFonts w:hint="eastAsia"/>
          <w:b/>
          <w:sz w:val="24"/>
          <w:szCs w:val="24"/>
        </w:rPr>
        <w:t>従業員規模別</w:t>
      </w:r>
    </w:p>
    <w:p w14:paraId="3AD75C01" w14:textId="4806C391" w:rsidR="00001114" w:rsidRPr="001A6DF5" w:rsidRDefault="00001114" w:rsidP="001A6DF5">
      <w:pPr>
        <w:pStyle w:val="a3"/>
        <w:numPr>
          <w:ilvl w:val="0"/>
          <w:numId w:val="7"/>
        </w:numPr>
        <w:snapToGrid w:val="0"/>
        <w:ind w:leftChars="0"/>
        <w:rPr>
          <w:rFonts w:asciiTheme="minorEastAsia" w:hAnsiTheme="minorEastAsia"/>
          <w:b/>
          <w:szCs w:val="21"/>
        </w:rPr>
      </w:pPr>
      <w:r w:rsidRPr="001A6DF5">
        <w:rPr>
          <w:rFonts w:asciiTheme="minorEastAsia" w:hAnsiTheme="minorEastAsia" w:hint="eastAsia"/>
          <w:bCs/>
          <w:szCs w:val="21"/>
        </w:rPr>
        <w:t>「</w:t>
      </w:r>
      <w:r w:rsidR="001A6DF5" w:rsidRPr="001A6DF5">
        <w:rPr>
          <w:rFonts w:asciiTheme="minorEastAsia" w:hAnsiTheme="minorEastAsia" w:hint="eastAsia"/>
          <w:bCs/>
          <w:szCs w:val="21"/>
        </w:rPr>
        <w:t>雇用調整助成金」は従業員規模が大きいほど、「持続化給付金」は従業員規模が小さいほど回答割合が高かった。</w:t>
      </w:r>
    </w:p>
    <w:p w14:paraId="375524E3" w14:textId="115F52F9" w:rsidR="00001114" w:rsidRDefault="0000111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44FE262D" w14:textId="4A0687E4" w:rsidR="00001114" w:rsidRDefault="0000111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>
        <w:rPr>
          <w:noProof/>
          <w:lang w:bidi="hi-IN"/>
        </w:rPr>
        <w:drawing>
          <wp:inline distT="0" distB="0" distL="0" distR="0" wp14:anchorId="0D87688E" wp14:editId="4B14C784">
            <wp:extent cx="5399405" cy="4967416"/>
            <wp:effectExtent l="0" t="0" r="0" b="5080"/>
            <wp:docPr id="49" name="グラフ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F8C7D69" w14:textId="259B8E7B" w:rsidR="00001114" w:rsidRDefault="0000111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68C289FE" w14:textId="3B2EA0CA" w:rsidR="00001114" w:rsidRDefault="00B10802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B10802">
        <w:rPr>
          <w:rFonts w:hint="eastAsia"/>
          <w:noProof/>
        </w:rPr>
        <w:lastRenderedPageBreak/>
        <w:drawing>
          <wp:inline distT="0" distB="0" distL="0" distR="0" wp14:anchorId="7F403C51" wp14:editId="4673132E">
            <wp:extent cx="5400040" cy="579351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ED18" w14:textId="471A19CC" w:rsidR="00431C34" w:rsidRDefault="008F41B0" w:rsidP="00B10802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8F41B0">
        <w:rPr>
          <w:noProof/>
          <w:lang w:bidi="hi-IN"/>
        </w:rPr>
        <w:drawing>
          <wp:inline distT="0" distB="0" distL="0" distR="0" wp14:anchorId="1CFCAE2C" wp14:editId="5BD5216F">
            <wp:extent cx="5400040" cy="253756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D75C8" w14:textId="1748C4D7" w:rsidR="00431C34" w:rsidRPr="005038D4" w:rsidRDefault="00431C34" w:rsidP="00431C34">
      <w:pPr>
        <w:snapToGrid w:val="0"/>
        <w:rPr>
          <w:rFonts w:asciiTheme="minorEastAsia" w:eastAsia="PMingLiU" w:hAnsiTheme="minorEastAsia"/>
          <w:b/>
          <w:szCs w:val="21"/>
        </w:rPr>
      </w:pPr>
      <w:r w:rsidRPr="005038D4">
        <w:rPr>
          <w:rFonts w:hint="eastAsia"/>
          <w:b/>
          <w:sz w:val="24"/>
          <w:szCs w:val="24"/>
        </w:rPr>
        <w:lastRenderedPageBreak/>
        <w:t>⑧</w:t>
      </w:r>
      <w:r w:rsidR="005038D4" w:rsidRPr="005038D4">
        <w:rPr>
          <w:rFonts w:hint="eastAsia"/>
          <w:b/>
          <w:sz w:val="24"/>
          <w:szCs w:val="24"/>
        </w:rPr>
        <w:t>行政や会議所などに対する要望事項</w:t>
      </w:r>
      <w:r w:rsidR="005038D4">
        <w:rPr>
          <w:rFonts w:hint="eastAsia"/>
          <w:b/>
          <w:sz w:val="24"/>
          <w:szCs w:val="24"/>
        </w:rPr>
        <w:t>（複数回答）</w:t>
      </w:r>
    </w:p>
    <w:p w14:paraId="573C633B" w14:textId="77777777" w:rsidR="00431C34" w:rsidRPr="00985CEC" w:rsidRDefault="00431C34" w:rsidP="00431C34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42B7A5BA" w14:textId="77777777" w:rsidR="00431C34" w:rsidRPr="005B1738" w:rsidRDefault="00431C34" w:rsidP="00431C34">
      <w:pPr>
        <w:snapToGrid w:val="0"/>
        <w:spacing w:line="276" w:lineRule="auto"/>
        <w:rPr>
          <w:b/>
          <w:sz w:val="24"/>
          <w:szCs w:val="24"/>
        </w:rPr>
      </w:pPr>
      <w:r w:rsidRPr="005B1738">
        <w:rPr>
          <w:b/>
          <w:sz w:val="24"/>
          <w:szCs w:val="24"/>
        </w:rPr>
        <w:t>全体</w:t>
      </w:r>
    </w:p>
    <w:p w14:paraId="78B1FC37" w14:textId="2D99FF7F" w:rsidR="006B0314" w:rsidRPr="006B0314" w:rsidRDefault="005B1738" w:rsidP="006B0314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6B0314">
        <w:rPr>
          <w:rFonts w:asciiTheme="minorEastAsia" w:hAnsiTheme="minorEastAsia" w:hint="eastAsia"/>
          <w:bCs/>
          <w:szCs w:val="21"/>
        </w:rPr>
        <w:t>「迅速かつ</w:t>
      </w:r>
      <w:r w:rsidR="00E721E0">
        <w:rPr>
          <w:rFonts w:asciiTheme="minorEastAsia" w:hAnsiTheme="minorEastAsia" w:hint="eastAsia"/>
          <w:bCs/>
          <w:szCs w:val="21"/>
        </w:rPr>
        <w:t>正確で</w:t>
      </w:r>
      <w:r w:rsidRPr="006B0314">
        <w:rPr>
          <w:rFonts w:asciiTheme="minorEastAsia" w:hAnsiTheme="minorEastAsia" w:hint="eastAsia"/>
          <w:bCs/>
          <w:szCs w:val="21"/>
        </w:rPr>
        <w:t>分かりやすい情報の提供」</w:t>
      </w:r>
      <w:r w:rsidR="006B0314" w:rsidRPr="006B0314">
        <w:rPr>
          <w:rFonts w:asciiTheme="minorEastAsia" w:hAnsiTheme="minorEastAsia" w:hint="eastAsia"/>
          <w:bCs/>
          <w:szCs w:val="21"/>
        </w:rPr>
        <w:t>が60.5％と2番以下を20ポイント以上引き離して最も高かった。</w:t>
      </w:r>
    </w:p>
    <w:p w14:paraId="1423498E" w14:textId="77777777" w:rsidR="00431C34" w:rsidRPr="00985CEC" w:rsidRDefault="00431C34" w:rsidP="00431C34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color w:val="FF0000"/>
          <w:szCs w:val="21"/>
        </w:rPr>
      </w:pPr>
    </w:p>
    <w:p w14:paraId="28C98E13" w14:textId="77777777" w:rsidR="00431C34" w:rsidRPr="00633FB7" w:rsidRDefault="00431C34" w:rsidP="00431C34">
      <w:pPr>
        <w:snapToGrid w:val="0"/>
        <w:spacing w:line="276" w:lineRule="auto"/>
        <w:rPr>
          <w:b/>
          <w:sz w:val="24"/>
          <w:szCs w:val="24"/>
        </w:rPr>
      </w:pPr>
      <w:r w:rsidRPr="00633FB7">
        <w:rPr>
          <w:rFonts w:hint="eastAsia"/>
          <w:b/>
          <w:sz w:val="24"/>
          <w:szCs w:val="24"/>
        </w:rPr>
        <w:t>業種別</w:t>
      </w:r>
    </w:p>
    <w:p w14:paraId="575C3F4D" w14:textId="30A7EE38" w:rsidR="00431C34" w:rsidRPr="00633FB7" w:rsidRDefault="00633FB7" w:rsidP="00431C34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 w:rsidRPr="00633FB7">
        <w:rPr>
          <w:rFonts w:asciiTheme="minorEastAsia" w:hAnsiTheme="minorEastAsia" w:hint="eastAsia"/>
          <w:bCs/>
          <w:szCs w:val="21"/>
        </w:rPr>
        <w:t>「運輸業」「飲食業」は、「雇用に関する助成金の要件緩和や手続きの迅速化」が相対的に高かった。</w:t>
      </w:r>
    </w:p>
    <w:p w14:paraId="60D99DC3" w14:textId="52384FB4" w:rsidR="00431C34" w:rsidRPr="00633FB7" w:rsidRDefault="00633FB7" w:rsidP="00633FB7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「医療・福祉」は、「風評被害拡大防止のための対策」が相対的に高かった。</w:t>
      </w:r>
    </w:p>
    <w:p w14:paraId="17862353" w14:textId="77777777" w:rsidR="00431C34" w:rsidRPr="00633FB7" w:rsidRDefault="00431C34" w:rsidP="00431C34">
      <w:pPr>
        <w:pStyle w:val="a3"/>
        <w:snapToGrid w:val="0"/>
        <w:spacing w:line="276" w:lineRule="auto"/>
        <w:ind w:leftChars="0" w:left="420"/>
        <w:rPr>
          <w:rFonts w:asciiTheme="minorEastAsia" w:hAnsiTheme="minorEastAsia"/>
          <w:bCs/>
          <w:szCs w:val="21"/>
        </w:rPr>
      </w:pPr>
    </w:p>
    <w:p w14:paraId="1005E6B2" w14:textId="77777777" w:rsidR="00431C34" w:rsidRPr="00633FB7" w:rsidRDefault="00431C34" w:rsidP="00431C34">
      <w:pPr>
        <w:snapToGrid w:val="0"/>
        <w:spacing w:line="276" w:lineRule="auto"/>
        <w:rPr>
          <w:b/>
          <w:sz w:val="24"/>
          <w:szCs w:val="24"/>
        </w:rPr>
      </w:pPr>
      <w:r w:rsidRPr="00633FB7">
        <w:rPr>
          <w:rFonts w:hint="eastAsia"/>
          <w:b/>
          <w:sz w:val="24"/>
          <w:szCs w:val="24"/>
        </w:rPr>
        <w:t>従業員規模別</w:t>
      </w:r>
    </w:p>
    <w:p w14:paraId="5A3DAAAE" w14:textId="342BF508" w:rsidR="00431C34" w:rsidRPr="00633FB7" w:rsidRDefault="00431C34" w:rsidP="00633FB7">
      <w:pPr>
        <w:pStyle w:val="a3"/>
        <w:numPr>
          <w:ilvl w:val="0"/>
          <w:numId w:val="7"/>
        </w:numPr>
        <w:snapToGrid w:val="0"/>
        <w:ind w:leftChars="0"/>
        <w:rPr>
          <w:rFonts w:asciiTheme="minorEastAsia" w:hAnsiTheme="minorEastAsia"/>
          <w:b/>
          <w:szCs w:val="21"/>
        </w:rPr>
      </w:pPr>
      <w:r w:rsidRPr="00633FB7">
        <w:rPr>
          <w:rFonts w:asciiTheme="minorEastAsia" w:hAnsiTheme="minorEastAsia" w:hint="eastAsia"/>
          <w:bCs/>
          <w:szCs w:val="21"/>
        </w:rPr>
        <w:t>「10</w:t>
      </w:r>
      <w:r w:rsidR="00633FB7">
        <w:rPr>
          <w:rFonts w:asciiTheme="minorEastAsia" w:hAnsiTheme="minorEastAsia" w:hint="eastAsia"/>
          <w:bCs/>
          <w:szCs w:val="21"/>
        </w:rPr>
        <w:t>人未満」は、「事業・店舗運営の継続に向けた大胆な給付金制度の創設」が相対的に高かった。</w:t>
      </w:r>
    </w:p>
    <w:p w14:paraId="2CCF43D2" w14:textId="44AB870A" w:rsidR="00001114" w:rsidRPr="00633FB7" w:rsidRDefault="00001114" w:rsidP="00AC0461">
      <w:pPr>
        <w:snapToGrid w:val="0"/>
        <w:rPr>
          <w:rFonts w:asciiTheme="minorEastAsia" w:hAnsiTheme="minorEastAsia"/>
          <w:b/>
          <w:szCs w:val="21"/>
        </w:rPr>
      </w:pPr>
    </w:p>
    <w:p w14:paraId="036860CE" w14:textId="7599A3C2" w:rsidR="00431C34" w:rsidRDefault="00431C3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222C3D8B" w14:textId="2F16FAAD" w:rsidR="00431C34" w:rsidRDefault="00DB5EC0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>
        <w:rPr>
          <w:noProof/>
          <w:lang w:bidi="hi-IN"/>
        </w:rPr>
        <w:drawing>
          <wp:inline distT="0" distB="0" distL="0" distR="0" wp14:anchorId="1F9B9744" wp14:editId="180EF105">
            <wp:extent cx="5399405" cy="4777946"/>
            <wp:effectExtent l="0" t="0" r="0" b="3810"/>
            <wp:docPr id="55" name="グラフ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14CD764" w14:textId="6CB1FF08" w:rsidR="00431C34" w:rsidRDefault="00431C34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2593B7E2" w14:textId="419BA8BB" w:rsidR="00431C34" w:rsidRDefault="00627C4D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627C4D">
        <w:rPr>
          <w:noProof/>
        </w:rPr>
        <w:lastRenderedPageBreak/>
        <w:drawing>
          <wp:inline distT="0" distB="0" distL="0" distR="0" wp14:anchorId="01C5F683" wp14:editId="044DC34B">
            <wp:extent cx="5400040" cy="5055466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5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E84D" w14:textId="77777777" w:rsidR="00627C4D" w:rsidRPr="00985CEC" w:rsidRDefault="00627C4D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</w:p>
    <w:p w14:paraId="0AAE7A4B" w14:textId="5F8087DD" w:rsidR="00483226" w:rsidRPr="00985CEC" w:rsidRDefault="00816A18" w:rsidP="00AC0461">
      <w:pPr>
        <w:snapToGrid w:val="0"/>
        <w:rPr>
          <w:rFonts w:asciiTheme="minorEastAsia" w:hAnsiTheme="minorEastAsia"/>
          <w:b/>
          <w:color w:val="FF0000"/>
          <w:szCs w:val="21"/>
        </w:rPr>
      </w:pPr>
      <w:r w:rsidRPr="00816A18">
        <w:rPr>
          <w:noProof/>
          <w:lang w:bidi="hi-IN"/>
        </w:rPr>
        <w:drawing>
          <wp:inline distT="0" distB="0" distL="0" distR="0" wp14:anchorId="75A6964F" wp14:editId="3F69396B">
            <wp:extent cx="5400040" cy="2602127"/>
            <wp:effectExtent l="0" t="0" r="0" b="825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59392" w14:textId="50CB65C6" w:rsidR="006B054C" w:rsidRPr="00D72150" w:rsidRDefault="006B054C" w:rsidP="00AC0461">
      <w:pPr>
        <w:snapToGrid w:val="0"/>
        <w:rPr>
          <w:rFonts w:asciiTheme="minorEastAsia" w:hAnsiTheme="minorEastAsia"/>
          <w:b/>
          <w:szCs w:val="21"/>
        </w:rPr>
      </w:pPr>
    </w:p>
    <w:sectPr w:rsidR="006B054C" w:rsidRPr="00D72150" w:rsidSect="00E5114E">
      <w:footerReference w:type="default" r:id="rId3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40C4" w14:textId="77777777" w:rsidR="00D32959" w:rsidRDefault="00D32959" w:rsidP="00EF4384">
      <w:r>
        <w:separator/>
      </w:r>
    </w:p>
  </w:endnote>
  <w:endnote w:type="continuationSeparator" w:id="0">
    <w:p w14:paraId="7DA6B219" w14:textId="77777777" w:rsidR="00D32959" w:rsidRDefault="00D32959" w:rsidP="00EF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920876"/>
      <w:docPartObj>
        <w:docPartGallery w:val="Page Numbers (Bottom of Page)"/>
        <w:docPartUnique/>
      </w:docPartObj>
    </w:sdtPr>
    <w:sdtEndPr/>
    <w:sdtContent>
      <w:p w14:paraId="7D35DFC0" w14:textId="6ADD0BF7" w:rsidR="00D74F98" w:rsidRDefault="00D74F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C4D" w:rsidRPr="00627C4D">
          <w:rPr>
            <w:noProof/>
            <w:lang w:val="ja-JP"/>
          </w:rPr>
          <w:t>17</w:t>
        </w:r>
        <w:r>
          <w:fldChar w:fldCharType="end"/>
        </w:r>
      </w:p>
    </w:sdtContent>
  </w:sdt>
  <w:p w14:paraId="6426AFB8" w14:textId="77777777" w:rsidR="00D74F98" w:rsidRDefault="00D74F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236F" w14:textId="77777777" w:rsidR="00D32959" w:rsidRDefault="00D32959" w:rsidP="00EF4384">
      <w:r>
        <w:separator/>
      </w:r>
    </w:p>
  </w:footnote>
  <w:footnote w:type="continuationSeparator" w:id="0">
    <w:p w14:paraId="67C9A7F4" w14:textId="77777777" w:rsidR="00D32959" w:rsidRDefault="00D32959" w:rsidP="00EF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147"/>
    <w:multiLevelType w:val="hybridMultilevel"/>
    <w:tmpl w:val="16168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E6E12"/>
    <w:multiLevelType w:val="hybridMultilevel"/>
    <w:tmpl w:val="FD3A2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63E6F"/>
    <w:multiLevelType w:val="hybridMultilevel"/>
    <w:tmpl w:val="E23E1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5508AD"/>
    <w:multiLevelType w:val="hybridMultilevel"/>
    <w:tmpl w:val="11A8DC1A"/>
    <w:lvl w:ilvl="0" w:tplc="5DA2A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E073B2"/>
    <w:multiLevelType w:val="hybridMultilevel"/>
    <w:tmpl w:val="6E82DE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9F31B0"/>
    <w:multiLevelType w:val="hybridMultilevel"/>
    <w:tmpl w:val="E5CEAE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B20394"/>
    <w:multiLevelType w:val="hybridMultilevel"/>
    <w:tmpl w:val="FB16FD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A83A46"/>
    <w:multiLevelType w:val="hybridMultilevel"/>
    <w:tmpl w:val="AA004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EB"/>
    <w:rsid w:val="00001114"/>
    <w:rsid w:val="00001CBD"/>
    <w:rsid w:val="000028A8"/>
    <w:rsid w:val="00002DF5"/>
    <w:rsid w:val="00003B63"/>
    <w:rsid w:val="0000448E"/>
    <w:rsid w:val="000045EA"/>
    <w:rsid w:val="00004731"/>
    <w:rsid w:val="00004BB2"/>
    <w:rsid w:val="00004F39"/>
    <w:rsid w:val="000052CB"/>
    <w:rsid w:val="00005B3C"/>
    <w:rsid w:val="00006F07"/>
    <w:rsid w:val="000075AA"/>
    <w:rsid w:val="000108A0"/>
    <w:rsid w:val="00011E6E"/>
    <w:rsid w:val="000129D8"/>
    <w:rsid w:val="00012BA6"/>
    <w:rsid w:val="00014803"/>
    <w:rsid w:val="00014906"/>
    <w:rsid w:val="00017909"/>
    <w:rsid w:val="000209DE"/>
    <w:rsid w:val="00020A18"/>
    <w:rsid w:val="00020F98"/>
    <w:rsid w:val="0002146B"/>
    <w:rsid w:val="00022066"/>
    <w:rsid w:val="00022640"/>
    <w:rsid w:val="00024B8D"/>
    <w:rsid w:val="00024CF9"/>
    <w:rsid w:val="0002582B"/>
    <w:rsid w:val="00025A8F"/>
    <w:rsid w:val="00025F75"/>
    <w:rsid w:val="00026250"/>
    <w:rsid w:val="000267E3"/>
    <w:rsid w:val="00026A5C"/>
    <w:rsid w:val="0002715A"/>
    <w:rsid w:val="000277CB"/>
    <w:rsid w:val="00030637"/>
    <w:rsid w:val="00030A89"/>
    <w:rsid w:val="00031D57"/>
    <w:rsid w:val="000321CE"/>
    <w:rsid w:val="00034192"/>
    <w:rsid w:val="0003432C"/>
    <w:rsid w:val="00035CA1"/>
    <w:rsid w:val="0003673E"/>
    <w:rsid w:val="00036A9C"/>
    <w:rsid w:val="000370C3"/>
    <w:rsid w:val="00040129"/>
    <w:rsid w:val="00040EAF"/>
    <w:rsid w:val="00041335"/>
    <w:rsid w:val="000427CC"/>
    <w:rsid w:val="0004295D"/>
    <w:rsid w:val="00042FE7"/>
    <w:rsid w:val="000433E4"/>
    <w:rsid w:val="000442BB"/>
    <w:rsid w:val="00044690"/>
    <w:rsid w:val="00044940"/>
    <w:rsid w:val="00044CC9"/>
    <w:rsid w:val="00045CDC"/>
    <w:rsid w:val="000462A1"/>
    <w:rsid w:val="00046CBE"/>
    <w:rsid w:val="00046D7D"/>
    <w:rsid w:val="00046E95"/>
    <w:rsid w:val="000473CA"/>
    <w:rsid w:val="000513CA"/>
    <w:rsid w:val="000517F3"/>
    <w:rsid w:val="0005313B"/>
    <w:rsid w:val="000531B6"/>
    <w:rsid w:val="000539FB"/>
    <w:rsid w:val="000543CE"/>
    <w:rsid w:val="0005495B"/>
    <w:rsid w:val="00054E0A"/>
    <w:rsid w:val="00055041"/>
    <w:rsid w:val="00055B26"/>
    <w:rsid w:val="00055ED6"/>
    <w:rsid w:val="00055F5E"/>
    <w:rsid w:val="0005768A"/>
    <w:rsid w:val="00057C24"/>
    <w:rsid w:val="000604AD"/>
    <w:rsid w:val="00060BF1"/>
    <w:rsid w:val="00061869"/>
    <w:rsid w:val="00062665"/>
    <w:rsid w:val="000628F3"/>
    <w:rsid w:val="00063CBD"/>
    <w:rsid w:val="0006442E"/>
    <w:rsid w:val="0006466B"/>
    <w:rsid w:val="00064D49"/>
    <w:rsid w:val="00065145"/>
    <w:rsid w:val="00065775"/>
    <w:rsid w:val="000668F1"/>
    <w:rsid w:val="0006766E"/>
    <w:rsid w:val="00070A2E"/>
    <w:rsid w:val="00071562"/>
    <w:rsid w:val="00071D17"/>
    <w:rsid w:val="00072367"/>
    <w:rsid w:val="000724B9"/>
    <w:rsid w:val="000729E6"/>
    <w:rsid w:val="00073EE7"/>
    <w:rsid w:val="00074439"/>
    <w:rsid w:val="000771FD"/>
    <w:rsid w:val="00077984"/>
    <w:rsid w:val="00081DFC"/>
    <w:rsid w:val="0008233E"/>
    <w:rsid w:val="000837D2"/>
    <w:rsid w:val="00084482"/>
    <w:rsid w:val="000846C8"/>
    <w:rsid w:val="00085B3C"/>
    <w:rsid w:val="000867A1"/>
    <w:rsid w:val="00087978"/>
    <w:rsid w:val="000901B1"/>
    <w:rsid w:val="00090A0C"/>
    <w:rsid w:val="00091372"/>
    <w:rsid w:val="00091649"/>
    <w:rsid w:val="0009174F"/>
    <w:rsid w:val="00091F27"/>
    <w:rsid w:val="0009246A"/>
    <w:rsid w:val="000929C0"/>
    <w:rsid w:val="00092FA6"/>
    <w:rsid w:val="00092FEC"/>
    <w:rsid w:val="000930AF"/>
    <w:rsid w:val="00093E8E"/>
    <w:rsid w:val="000951FB"/>
    <w:rsid w:val="00095A5A"/>
    <w:rsid w:val="00095ED9"/>
    <w:rsid w:val="0009609F"/>
    <w:rsid w:val="000964FF"/>
    <w:rsid w:val="00096666"/>
    <w:rsid w:val="000968D6"/>
    <w:rsid w:val="000A0950"/>
    <w:rsid w:val="000A0A98"/>
    <w:rsid w:val="000A15A6"/>
    <w:rsid w:val="000A1A78"/>
    <w:rsid w:val="000A2C87"/>
    <w:rsid w:val="000A2CFC"/>
    <w:rsid w:val="000A4439"/>
    <w:rsid w:val="000A50F8"/>
    <w:rsid w:val="000A63BB"/>
    <w:rsid w:val="000A6DA8"/>
    <w:rsid w:val="000A7060"/>
    <w:rsid w:val="000A720D"/>
    <w:rsid w:val="000A7955"/>
    <w:rsid w:val="000B0690"/>
    <w:rsid w:val="000B0A8B"/>
    <w:rsid w:val="000B1B3B"/>
    <w:rsid w:val="000B359B"/>
    <w:rsid w:val="000B3E50"/>
    <w:rsid w:val="000B3FA5"/>
    <w:rsid w:val="000B62D0"/>
    <w:rsid w:val="000B64B5"/>
    <w:rsid w:val="000B6742"/>
    <w:rsid w:val="000B6A5B"/>
    <w:rsid w:val="000C017D"/>
    <w:rsid w:val="000C039D"/>
    <w:rsid w:val="000C0A35"/>
    <w:rsid w:val="000C1521"/>
    <w:rsid w:val="000C17C6"/>
    <w:rsid w:val="000C1DF5"/>
    <w:rsid w:val="000C230D"/>
    <w:rsid w:val="000C3102"/>
    <w:rsid w:val="000C3154"/>
    <w:rsid w:val="000C3242"/>
    <w:rsid w:val="000C38EE"/>
    <w:rsid w:val="000C4957"/>
    <w:rsid w:val="000C49DF"/>
    <w:rsid w:val="000C4E3F"/>
    <w:rsid w:val="000C4F35"/>
    <w:rsid w:val="000C510E"/>
    <w:rsid w:val="000C556D"/>
    <w:rsid w:val="000C588C"/>
    <w:rsid w:val="000C5BCC"/>
    <w:rsid w:val="000C61DA"/>
    <w:rsid w:val="000C7BE2"/>
    <w:rsid w:val="000C7EDB"/>
    <w:rsid w:val="000D0881"/>
    <w:rsid w:val="000D1410"/>
    <w:rsid w:val="000D1947"/>
    <w:rsid w:val="000D3FFF"/>
    <w:rsid w:val="000D458D"/>
    <w:rsid w:val="000D4B1D"/>
    <w:rsid w:val="000D4D68"/>
    <w:rsid w:val="000D532E"/>
    <w:rsid w:val="000D554E"/>
    <w:rsid w:val="000D6A1C"/>
    <w:rsid w:val="000D6F18"/>
    <w:rsid w:val="000E0482"/>
    <w:rsid w:val="000E0A1B"/>
    <w:rsid w:val="000E2502"/>
    <w:rsid w:val="000E368B"/>
    <w:rsid w:val="000E4D65"/>
    <w:rsid w:val="000E742A"/>
    <w:rsid w:val="000E7A33"/>
    <w:rsid w:val="000F2D67"/>
    <w:rsid w:val="000F3477"/>
    <w:rsid w:val="000F34FD"/>
    <w:rsid w:val="000F354B"/>
    <w:rsid w:val="000F3A47"/>
    <w:rsid w:val="000F3C7F"/>
    <w:rsid w:val="000F5055"/>
    <w:rsid w:val="000F589A"/>
    <w:rsid w:val="000F6010"/>
    <w:rsid w:val="000F7302"/>
    <w:rsid w:val="00101BFA"/>
    <w:rsid w:val="0010264B"/>
    <w:rsid w:val="00103C85"/>
    <w:rsid w:val="001049A2"/>
    <w:rsid w:val="00104E82"/>
    <w:rsid w:val="0010602A"/>
    <w:rsid w:val="00106A39"/>
    <w:rsid w:val="0010782B"/>
    <w:rsid w:val="001110C8"/>
    <w:rsid w:val="001117FB"/>
    <w:rsid w:val="00113975"/>
    <w:rsid w:val="00114030"/>
    <w:rsid w:val="0011429E"/>
    <w:rsid w:val="001144F0"/>
    <w:rsid w:val="00114F28"/>
    <w:rsid w:val="00115558"/>
    <w:rsid w:val="00115645"/>
    <w:rsid w:val="00115710"/>
    <w:rsid w:val="00115C52"/>
    <w:rsid w:val="00117384"/>
    <w:rsid w:val="0012071E"/>
    <w:rsid w:val="0012103D"/>
    <w:rsid w:val="00122A62"/>
    <w:rsid w:val="001235AA"/>
    <w:rsid w:val="00124361"/>
    <w:rsid w:val="00124831"/>
    <w:rsid w:val="00125DAF"/>
    <w:rsid w:val="0012780A"/>
    <w:rsid w:val="00130DB7"/>
    <w:rsid w:val="00130DEF"/>
    <w:rsid w:val="0013160E"/>
    <w:rsid w:val="00131F8E"/>
    <w:rsid w:val="00132AFF"/>
    <w:rsid w:val="0013337B"/>
    <w:rsid w:val="00133840"/>
    <w:rsid w:val="00133D23"/>
    <w:rsid w:val="00135347"/>
    <w:rsid w:val="00135CFE"/>
    <w:rsid w:val="001366C3"/>
    <w:rsid w:val="00136DE1"/>
    <w:rsid w:val="001370C6"/>
    <w:rsid w:val="00137388"/>
    <w:rsid w:val="00137D74"/>
    <w:rsid w:val="00137DE7"/>
    <w:rsid w:val="0014016D"/>
    <w:rsid w:val="00141000"/>
    <w:rsid w:val="001431F3"/>
    <w:rsid w:val="0014327E"/>
    <w:rsid w:val="00143392"/>
    <w:rsid w:val="00144A93"/>
    <w:rsid w:val="00145618"/>
    <w:rsid w:val="001457F6"/>
    <w:rsid w:val="00146686"/>
    <w:rsid w:val="001468C6"/>
    <w:rsid w:val="00150784"/>
    <w:rsid w:val="00150AE4"/>
    <w:rsid w:val="001510D8"/>
    <w:rsid w:val="00151127"/>
    <w:rsid w:val="00151A9E"/>
    <w:rsid w:val="0015208F"/>
    <w:rsid w:val="0015319A"/>
    <w:rsid w:val="00153BED"/>
    <w:rsid w:val="00153C93"/>
    <w:rsid w:val="00153F51"/>
    <w:rsid w:val="0015459A"/>
    <w:rsid w:val="00156754"/>
    <w:rsid w:val="00156889"/>
    <w:rsid w:val="001569C6"/>
    <w:rsid w:val="00156A97"/>
    <w:rsid w:val="0015760B"/>
    <w:rsid w:val="0016063C"/>
    <w:rsid w:val="0016229A"/>
    <w:rsid w:val="00163279"/>
    <w:rsid w:val="001639DF"/>
    <w:rsid w:val="00163F9F"/>
    <w:rsid w:val="0016476C"/>
    <w:rsid w:val="00165E08"/>
    <w:rsid w:val="00166638"/>
    <w:rsid w:val="00166F9E"/>
    <w:rsid w:val="001675BC"/>
    <w:rsid w:val="001679FF"/>
    <w:rsid w:val="00171741"/>
    <w:rsid w:val="00171F55"/>
    <w:rsid w:val="00172526"/>
    <w:rsid w:val="001725DA"/>
    <w:rsid w:val="00173093"/>
    <w:rsid w:val="00173F99"/>
    <w:rsid w:val="0017592C"/>
    <w:rsid w:val="00180914"/>
    <w:rsid w:val="00180D25"/>
    <w:rsid w:val="00181588"/>
    <w:rsid w:val="00181A4B"/>
    <w:rsid w:val="00181FEC"/>
    <w:rsid w:val="001822D5"/>
    <w:rsid w:val="001828C7"/>
    <w:rsid w:val="00182C5A"/>
    <w:rsid w:val="00183452"/>
    <w:rsid w:val="0018381D"/>
    <w:rsid w:val="0018429F"/>
    <w:rsid w:val="00184FDC"/>
    <w:rsid w:val="00185FC2"/>
    <w:rsid w:val="00186328"/>
    <w:rsid w:val="001865FB"/>
    <w:rsid w:val="00186F54"/>
    <w:rsid w:val="00187A3C"/>
    <w:rsid w:val="00187F0C"/>
    <w:rsid w:val="00190B96"/>
    <w:rsid w:val="00191355"/>
    <w:rsid w:val="001915D3"/>
    <w:rsid w:val="00192AB8"/>
    <w:rsid w:val="001937FB"/>
    <w:rsid w:val="00193B9E"/>
    <w:rsid w:val="0019417B"/>
    <w:rsid w:val="001948BB"/>
    <w:rsid w:val="00194CDC"/>
    <w:rsid w:val="00195DCB"/>
    <w:rsid w:val="00195F27"/>
    <w:rsid w:val="001967B2"/>
    <w:rsid w:val="00197B32"/>
    <w:rsid w:val="001A0143"/>
    <w:rsid w:val="001A07EF"/>
    <w:rsid w:val="001A1B6C"/>
    <w:rsid w:val="001A2F40"/>
    <w:rsid w:val="001A3352"/>
    <w:rsid w:val="001A3877"/>
    <w:rsid w:val="001A4051"/>
    <w:rsid w:val="001A4395"/>
    <w:rsid w:val="001A457E"/>
    <w:rsid w:val="001A5262"/>
    <w:rsid w:val="001A57FB"/>
    <w:rsid w:val="001A6DF5"/>
    <w:rsid w:val="001A6FC8"/>
    <w:rsid w:val="001A75A8"/>
    <w:rsid w:val="001A77B8"/>
    <w:rsid w:val="001B0EC0"/>
    <w:rsid w:val="001B23B5"/>
    <w:rsid w:val="001B2664"/>
    <w:rsid w:val="001B29CD"/>
    <w:rsid w:val="001B34BC"/>
    <w:rsid w:val="001B3786"/>
    <w:rsid w:val="001B3DF9"/>
    <w:rsid w:val="001B45B4"/>
    <w:rsid w:val="001B4CA9"/>
    <w:rsid w:val="001B5B20"/>
    <w:rsid w:val="001B6AAF"/>
    <w:rsid w:val="001B78A0"/>
    <w:rsid w:val="001C169B"/>
    <w:rsid w:val="001C177D"/>
    <w:rsid w:val="001C2207"/>
    <w:rsid w:val="001C3CEE"/>
    <w:rsid w:val="001C3D2A"/>
    <w:rsid w:val="001C46C2"/>
    <w:rsid w:val="001C5267"/>
    <w:rsid w:val="001C65A7"/>
    <w:rsid w:val="001D096C"/>
    <w:rsid w:val="001D0EA7"/>
    <w:rsid w:val="001D16C1"/>
    <w:rsid w:val="001D266B"/>
    <w:rsid w:val="001D290B"/>
    <w:rsid w:val="001D3701"/>
    <w:rsid w:val="001D39D0"/>
    <w:rsid w:val="001D46A3"/>
    <w:rsid w:val="001D5D38"/>
    <w:rsid w:val="001D6787"/>
    <w:rsid w:val="001D6C25"/>
    <w:rsid w:val="001D71C6"/>
    <w:rsid w:val="001D7B8D"/>
    <w:rsid w:val="001E1448"/>
    <w:rsid w:val="001E147E"/>
    <w:rsid w:val="001E1811"/>
    <w:rsid w:val="001E1EDE"/>
    <w:rsid w:val="001E2C42"/>
    <w:rsid w:val="001E3D63"/>
    <w:rsid w:val="001E3D6B"/>
    <w:rsid w:val="001E3DBF"/>
    <w:rsid w:val="001E3FD8"/>
    <w:rsid w:val="001E4A97"/>
    <w:rsid w:val="001E4BBC"/>
    <w:rsid w:val="001E4D49"/>
    <w:rsid w:val="001E531F"/>
    <w:rsid w:val="001E7523"/>
    <w:rsid w:val="001E7986"/>
    <w:rsid w:val="001F0846"/>
    <w:rsid w:val="001F0969"/>
    <w:rsid w:val="001F129A"/>
    <w:rsid w:val="001F1F8A"/>
    <w:rsid w:val="001F3904"/>
    <w:rsid w:val="001F3EDE"/>
    <w:rsid w:val="001F5B1D"/>
    <w:rsid w:val="001F5B91"/>
    <w:rsid w:val="001F5E1D"/>
    <w:rsid w:val="001F7FBF"/>
    <w:rsid w:val="00200D11"/>
    <w:rsid w:val="00201A99"/>
    <w:rsid w:val="00201C45"/>
    <w:rsid w:val="00202525"/>
    <w:rsid w:val="00202A4A"/>
    <w:rsid w:val="0020371E"/>
    <w:rsid w:val="002039E1"/>
    <w:rsid w:val="00203B25"/>
    <w:rsid w:val="00204B11"/>
    <w:rsid w:val="00205839"/>
    <w:rsid w:val="00207163"/>
    <w:rsid w:val="0020721A"/>
    <w:rsid w:val="00207506"/>
    <w:rsid w:val="0021127F"/>
    <w:rsid w:val="00211ED3"/>
    <w:rsid w:val="002120F4"/>
    <w:rsid w:val="00213174"/>
    <w:rsid w:val="0021337A"/>
    <w:rsid w:val="00213833"/>
    <w:rsid w:val="00214946"/>
    <w:rsid w:val="00214E00"/>
    <w:rsid w:val="00214EE7"/>
    <w:rsid w:val="00214FFC"/>
    <w:rsid w:val="0021520C"/>
    <w:rsid w:val="0021549B"/>
    <w:rsid w:val="0021665C"/>
    <w:rsid w:val="00216FDC"/>
    <w:rsid w:val="0021763B"/>
    <w:rsid w:val="002177F1"/>
    <w:rsid w:val="00217DCD"/>
    <w:rsid w:val="00220369"/>
    <w:rsid w:val="00222613"/>
    <w:rsid w:val="00223510"/>
    <w:rsid w:val="00223B5C"/>
    <w:rsid w:val="00223C14"/>
    <w:rsid w:val="00225A80"/>
    <w:rsid w:val="00227D3B"/>
    <w:rsid w:val="002305E5"/>
    <w:rsid w:val="002309F4"/>
    <w:rsid w:val="00231DFB"/>
    <w:rsid w:val="0023210B"/>
    <w:rsid w:val="002328AD"/>
    <w:rsid w:val="00232AC8"/>
    <w:rsid w:val="00233C00"/>
    <w:rsid w:val="00234BE5"/>
    <w:rsid w:val="00235234"/>
    <w:rsid w:val="00235393"/>
    <w:rsid w:val="00235D11"/>
    <w:rsid w:val="0023600A"/>
    <w:rsid w:val="002362D8"/>
    <w:rsid w:val="00240C84"/>
    <w:rsid w:val="00240F4E"/>
    <w:rsid w:val="00241638"/>
    <w:rsid w:val="002422DB"/>
    <w:rsid w:val="00242711"/>
    <w:rsid w:val="002429AA"/>
    <w:rsid w:val="002431F9"/>
    <w:rsid w:val="002444B8"/>
    <w:rsid w:val="00246223"/>
    <w:rsid w:val="00246811"/>
    <w:rsid w:val="002505B6"/>
    <w:rsid w:val="00252104"/>
    <w:rsid w:val="002522A5"/>
    <w:rsid w:val="0025232B"/>
    <w:rsid w:val="002530F9"/>
    <w:rsid w:val="00253A2E"/>
    <w:rsid w:val="00254900"/>
    <w:rsid w:val="00254C90"/>
    <w:rsid w:val="00255B78"/>
    <w:rsid w:val="00255E0F"/>
    <w:rsid w:val="00256DEC"/>
    <w:rsid w:val="00257E86"/>
    <w:rsid w:val="00260339"/>
    <w:rsid w:val="00260595"/>
    <w:rsid w:val="00260C02"/>
    <w:rsid w:val="00261861"/>
    <w:rsid w:val="0026305C"/>
    <w:rsid w:val="00263217"/>
    <w:rsid w:val="00263229"/>
    <w:rsid w:val="002632BD"/>
    <w:rsid w:val="00264359"/>
    <w:rsid w:val="002647C5"/>
    <w:rsid w:val="002647F6"/>
    <w:rsid w:val="002650C6"/>
    <w:rsid w:val="0026535B"/>
    <w:rsid w:val="00265649"/>
    <w:rsid w:val="00265D91"/>
    <w:rsid w:val="002708FA"/>
    <w:rsid w:val="00270A4C"/>
    <w:rsid w:val="00270E1F"/>
    <w:rsid w:val="00273118"/>
    <w:rsid w:val="00273C00"/>
    <w:rsid w:val="00273E45"/>
    <w:rsid w:val="0027420B"/>
    <w:rsid w:val="0027440F"/>
    <w:rsid w:val="0027491F"/>
    <w:rsid w:val="00275EF6"/>
    <w:rsid w:val="00276BBD"/>
    <w:rsid w:val="002773FF"/>
    <w:rsid w:val="00277CD3"/>
    <w:rsid w:val="00277E74"/>
    <w:rsid w:val="002801D0"/>
    <w:rsid w:val="002807AD"/>
    <w:rsid w:val="0028228E"/>
    <w:rsid w:val="00282835"/>
    <w:rsid w:val="00283BE5"/>
    <w:rsid w:val="00283E3A"/>
    <w:rsid w:val="00283F2F"/>
    <w:rsid w:val="00284166"/>
    <w:rsid w:val="00284473"/>
    <w:rsid w:val="00284D7F"/>
    <w:rsid w:val="00287736"/>
    <w:rsid w:val="002878AE"/>
    <w:rsid w:val="00290333"/>
    <w:rsid w:val="00290A32"/>
    <w:rsid w:val="00290B17"/>
    <w:rsid w:val="0029205F"/>
    <w:rsid w:val="00292B6F"/>
    <w:rsid w:val="00292C4C"/>
    <w:rsid w:val="00293AAD"/>
    <w:rsid w:val="00294397"/>
    <w:rsid w:val="00295A77"/>
    <w:rsid w:val="00295AA6"/>
    <w:rsid w:val="00296C4E"/>
    <w:rsid w:val="00297908"/>
    <w:rsid w:val="0029790D"/>
    <w:rsid w:val="00297AF1"/>
    <w:rsid w:val="00297DAF"/>
    <w:rsid w:val="002A0726"/>
    <w:rsid w:val="002A16EC"/>
    <w:rsid w:val="002A2B0D"/>
    <w:rsid w:val="002A3FF7"/>
    <w:rsid w:val="002A4E48"/>
    <w:rsid w:val="002A4F79"/>
    <w:rsid w:val="002A52A3"/>
    <w:rsid w:val="002A72B8"/>
    <w:rsid w:val="002A7363"/>
    <w:rsid w:val="002A744F"/>
    <w:rsid w:val="002A7542"/>
    <w:rsid w:val="002B065C"/>
    <w:rsid w:val="002B08C1"/>
    <w:rsid w:val="002B1042"/>
    <w:rsid w:val="002B1CA0"/>
    <w:rsid w:val="002B1EA2"/>
    <w:rsid w:val="002B2519"/>
    <w:rsid w:val="002B3044"/>
    <w:rsid w:val="002B346E"/>
    <w:rsid w:val="002B66C5"/>
    <w:rsid w:val="002C01B8"/>
    <w:rsid w:val="002C03A9"/>
    <w:rsid w:val="002C0A3E"/>
    <w:rsid w:val="002C0FCC"/>
    <w:rsid w:val="002C1A68"/>
    <w:rsid w:val="002C27C9"/>
    <w:rsid w:val="002C2B2E"/>
    <w:rsid w:val="002C60DA"/>
    <w:rsid w:val="002C664E"/>
    <w:rsid w:val="002C67F2"/>
    <w:rsid w:val="002C73D7"/>
    <w:rsid w:val="002C78DE"/>
    <w:rsid w:val="002C7966"/>
    <w:rsid w:val="002D0AE3"/>
    <w:rsid w:val="002D1183"/>
    <w:rsid w:val="002D12B6"/>
    <w:rsid w:val="002D13B6"/>
    <w:rsid w:val="002D24F6"/>
    <w:rsid w:val="002D3810"/>
    <w:rsid w:val="002D434E"/>
    <w:rsid w:val="002D47D3"/>
    <w:rsid w:val="002D4CF7"/>
    <w:rsid w:val="002D5E8D"/>
    <w:rsid w:val="002D64D6"/>
    <w:rsid w:val="002D6C5C"/>
    <w:rsid w:val="002D7A6A"/>
    <w:rsid w:val="002D7BF8"/>
    <w:rsid w:val="002D7D07"/>
    <w:rsid w:val="002E0A83"/>
    <w:rsid w:val="002E171D"/>
    <w:rsid w:val="002E26D5"/>
    <w:rsid w:val="002E2D6F"/>
    <w:rsid w:val="002E4F89"/>
    <w:rsid w:val="002E5761"/>
    <w:rsid w:val="002E59C2"/>
    <w:rsid w:val="002E72D2"/>
    <w:rsid w:val="002E73A5"/>
    <w:rsid w:val="002F03BD"/>
    <w:rsid w:val="002F24A7"/>
    <w:rsid w:val="002F3305"/>
    <w:rsid w:val="002F3A28"/>
    <w:rsid w:val="002F493C"/>
    <w:rsid w:val="002F58B5"/>
    <w:rsid w:val="002F5B9F"/>
    <w:rsid w:val="002F5BF4"/>
    <w:rsid w:val="002F664D"/>
    <w:rsid w:val="002F7C9C"/>
    <w:rsid w:val="003005B2"/>
    <w:rsid w:val="003009EA"/>
    <w:rsid w:val="00301C70"/>
    <w:rsid w:val="00301CD1"/>
    <w:rsid w:val="003026FA"/>
    <w:rsid w:val="003029C1"/>
    <w:rsid w:val="00304F8E"/>
    <w:rsid w:val="00305286"/>
    <w:rsid w:val="0030539C"/>
    <w:rsid w:val="00306261"/>
    <w:rsid w:val="00307162"/>
    <w:rsid w:val="00307282"/>
    <w:rsid w:val="003072A3"/>
    <w:rsid w:val="003101E3"/>
    <w:rsid w:val="003108BF"/>
    <w:rsid w:val="00311116"/>
    <w:rsid w:val="00312285"/>
    <w:rsid w:val="003135C5"/>
    <w:rsid w:val="00313A83"/>
    <w:rsid w:val="00313E44"/>
    <w:rsid w:val="00316459"/>
    <w:rsid w:val="00316632"/>
    <w:rsid w:val="00316FA4"/>
    <w:rsid w:val="00321367"/>
    <w:rsid w:val="00321405"/>
    <w:rsid w:val="00321879"/>
    <w:rsid w:val="00322BE0"/>
    <w:rsid w:val="00323352"/>
    <w:rsid w:val="00324CA6"/>
    <w:rsid w:val="003260C7"/>
    <w:rsid w:val="00326B41"/>
    <w:rsid w:val="00327030"/>
    <w:rsid w:val="003272B8"/>
    <w:rsid w:val="00327330"/>
    <w:rsid w:val="003279BC"/>
    <w:rsid w:val="00327C2D"/>
    <w:rsid w:val="003313F5"/>
    <w:rsid w:val="00331967"/>
    <w:rsid w:val="00332850"/>
    <w:rsid w:val="00332B62"/>
    <w:rsid w:val="00333418"/>
    <w:rsid w:val="00333AD9"/>
    <w:rsid w:val="00333C05"/>
    <w:rsid w:val="00336674"/>
    <w:rsid w:val="00336B03"/>
    <w:rsid w:val="00336D7C"/>
    <w:rsid w:val="00337485"/>
    <w:rsid w:val="00340723"/>
    <w:rsid w:val="0034164D"/>
    <w:rsid w:val="00341A96"/>
    <w:rsid w:val="00341CE7"/>
    <w:rsid w:val="003421BF"/>
    <w:rsid w:val="00342252"/>
    <w:rsid w:val="003423B1"/>
    <w:rsid w:val="003426C2"/>
    <w:rsid w:val="003435C4"/>
    <w:rsid w:val="003437DE"/>
    <w:rsid w:val="0034439A"/>
    <w:rsid w:val="00347587"/>
    <w:rsid w:val="0034763E"/>
    <w:rsid w:val="00350B7C"/>
    <w:rsid w:val="003517EE"/>
    <w:rsid w:val="00352B2A"/>
    <w:rsid w:val="00353944"/>
    <w:rsid w:val="00353952"/>
    <w:rsid w:val="00353A9A"/>
    <w:rsid w:val="00353B44"/>
    <w:rsid w:val="00354ADB"/>
    <w:rsid w:val="00354F84"/>
    <w:rsid w:val="00355190"/>
    <w:rsid w:val="00355272"/>
    <w:rsid w:val="00355714"/>
    <w:rsid w:val="00355BDC"/>
    <w:rsid w:val="00355E0B"/>
    <w:rsid w:val="00357847"/>
    <w:rsid w:val="003579A0"/>
    <w:rsid w:val="00360094"/>
    <w:rsid w:val="00360554"/>
    <w:rsid w:val="0036063F"/>
    <w:rsid w:val="0036140F"/>
    <w:rsid w:val="003620C5"/>
    <w:rsid w:val="00362223"/>
    <w:rsid w:val="00362BA6"/>
    <w:rsid w:val="00362C1F"/>
    <w:rsid w:val="0036300C"/>
    <w:rsid w:val="00363737"/>
    <w:rsid w:val="003638ED"/>
    <w:rsid w:val="00363919"/>
    <w:rsid w:val="00363C7A"/>
    <w:rsid w:val="00363CC9"/>
    <w:rsid w:val="0036426F"/>
    <w:rsid w:val="00364ABF"/>
    <w:rsid w:val="00365336"/>
    <w:rsid w:val="00365A58"/>
    <w:rsid w:val="00365DF2"/>
    <w:rsid w:val="003667D0"/>
    <w:rsid w:val="003678C0"/>
    <w:rsid w:val="003679FD"/>
    <w:rsid w:val="00370E1E"/>
    <w:rsid w:val="0037140B"/>
    <w:rsid w:val="003715E7"/>
    <w:rsid w:val="00371D70"/>
    <w:rsid w:val="003726A1"/>
    <w:rsid w:val="003731AA"/>
    <w:rsid w:val="003748FB"/>
    <w:rsid w:val="00374F1F"/>
    <w:rsid w:val="003756AF"/>
    <w:rsid w:val="00375D7B"/>
    <w:rsid w:val="00375EE5"/>
    <w:rsid w:val="00376814"/>
    <w:rsid w:val="00377C0D"/>
    <w:rsid w:val="00380129"/>
    <w:rsid w:val="003805B2"/>
    <w:rsid w:val="003805B8"/>
    <w:rsid w:val="00380ADC"/>
    <w:rsid w:val="00380C99"/>
    <w:rsid w:val="00382243"/>
    <w:rsid w:val="00383FC1"/>
    <w:rsid w:val="00384D02"/>
    <w:rsid w:val="003850A4"/>
    <w:rsid w:val="0038532E"/>
    <w:rsid w:val="003853CB"/>
    <w:rsid w:val="003854B8"/>
    <w:rsid w:val="00387488"/>
    <w:rsid w:val="0038749E"/>
    <w:rsid w:val="0038770B"/>
    <w:rsid w:val="00387DF5"/>
    <w:rsid w:val="00391559"/>
    <w:rsid w:val="00392032"/>
    <w:rsid w:val="003920F7"/>
    <w:rsid w:val="0039239A"/>
    <w:rsid w:val="00392C76"/>
    <w:rsid w:val="0039341C"/>
    <w:rsid w:val="003937C2"/>
    <w:rsid w:val="003944F3"/>
    <w:rsid w:val="00395A32"/>
    <w:rsid w:val="00395F21"/>
    <w:rsid w:val="00395F86"/>
    <w:rsid w:val="0039711B"/>
    <w:rsid w:val="003975C8"/>
    <w:rsid w:val="003A0D58"/>
    <w:rsid w:val="003A1060"/>
    <w:rsid w:val="003A134A"/>
    <w:rsid w:val="003A1E31"/>
    <w:rsid w:val="003A244B"/>
    <w:rsid w:val="003A2745"/>
    <w:rsid w:val="003A2FD1"/>
    <w:rsid w:val="003A2FD7"/>
    <w:rsid w:val="003A346C"/>
    <w:rsid w:val="003A36EC"/>
    <w:rsid w:val="003A407B"/>
    <w:rsid w:val="003A69B7"/>
    <w:rsid w:val="003A6CC6"/>
    <w:rsid w:val="003A6F34"/>
    <w:rsid w:val="003A7642"/>
    <w:rsid w:val="003A7CD8"/>
    <w:rsid w:val="003A7D9A"/>
    <w:rsid w:val="003B052F"/>
    <w:rsid w:val="003B1A49"/>
    <w:rsid w:val="003B3D50"/>
    <w:rsid w:val="003B4AA1"/>
    <w:rsid w:val="003B53F9"/>
    <w:rsid w:val="003B5A31"/>
    <w:rsid w:val="003B5ADB"/>
    <w:rsid w:val="003B5C00"/>
    <w:rsid w:val="003B5CDB"/>
    <w:rsid w:val="003B681B"/>
    <w:rsid w:val="003C0713"/>
    <w:rsid w:val="003C0714"/>
    <w:rsid w:val="003C297E"/>
    <w:rsid w:val="003C2E7B"/>
    <w:rsid w:val="003C2F5B"/>
    <w:rsid w:val="003C343A"/>
    <w:rsid w:val="003C3539"/>
    <w:rsid w:val="003C47AB"/>
    <w:rsid w:val="003C5B2F"/>
    <w:rsid w:val="003C7BBA"/>
    <w:rsid w:val="003C7FAE"/>
    <w:rsid w:val="003D03CD"/>
    <w:rsid w:val="003D06D3"/>
    <w:rsid w:val="003D3DC6"/>
    <w:rsid w:val="003D3EB8"/>
    <w:rsid w:val="003D4191"/>
    <w:rsid w:val="003D4C57"/>
    <w:rsid w:val="003D4F09"/>
    <w:rsid w:val="003D6616"/>
    <w:rsid w:val="003D6F93"/>
    <w:rsid w:val="003E0453"/>
    <w:rsid w:val="003E053A"/>
    <w:rsid w:val="003E119D"/>
    <w:rsid w:val="003E1EE0"/>
    <w:rsid w:val="003E29EC"/>
    <w:rsid w:val="003E2A8B"/>
    <w:rsid w:val="003E4E51"/>
    <w:rsid w:val="003E55DC"/>
    <w:rsid w:val="003E566B"/>
    <w:rsid w:val="003E5FC3"/>
    <w:rsid w:val="003E7223"/>
    <w:rsid w:val="003E7D93"/>
    <w:rsid w:val="003F08CE"/>
    <w:rsid w:val="003F1847"/>
    <w:rsid w:val="003F2055"/>
    <w:rsid w:val="003F25A9"/>
    <w:rsid w:val="003F26FF"/>
    <w:rsid w:val="003F34BE"/>
    <w:rsid w:val="003F3CDD"/>
    <w:rsid w:val="003F438F"/>
    <w:rsid w:val="003F4E57"/>
    <w:rsid w:val="003F6490"/>
    <w:rsid w:val="003F6493"/>
    <w:rsid w:val="003F7C5A"/>
    <w:rsid w:val="003F7CA7"/>
    <w:rsid w:val="00400863"/>
    <w:rsid w:val="00400F8F"/>
    <w:rsid w:val="00400F9E"/>
    <w:rsid w:val="004015C2"/>
    <w:rsid w:val="004017BC"/>
    <w:rsid w:val="00401A10"/>
    <w:rsid w:val="00402FC9"/>
    <w:rsid w:val="00403388"/>
    <w:rsid w:val="00403B61"/>
    <w:rsid w:val="0040417B"/>
    <w:rsid w:val="0040513C"/>
    <w:rsid w:val="00405A12"/>
    <w:rsid w:val="00405C00"/>
    <w:rsid w:val="00405E40"/>
    <w:rsid w:val="00411C8E"/>
    <w:rsid w:val="004123DF"/>
    <w:rsid w:val="00412D23"/>
    <w:rsid w:val="0041380D"/>
    <w:rsid w:val="00414CA5"/>
    <w:rsid w:val="00414E19"/>
    <w:rsid w:val="00415A87"/>
    <w:rsid w:val="0041663C"/>
    <w:rsid w:val="0041664E"/>
    <w:rsid w:val="00416A0A"/>
    <w:rsid w:val="00416B68"/>
    <w:rsid w:val="00417942"/>
    <w:rsid w:val="0042003D"/>
    <w:rsid w:val="004200CC"/>
    <w:rsid w:val="00420B19"/>
    <w:rsid w:val="00421A2A"/>
    <w:rsid w:val="004229EC"/>
    <w:rsid w:val="0042307E"/>
    <w:rsid w:val="0042365D"/>
    <w:rsid w:val="00424110"/>
    <w:rsid w:val="00424D1B"/>
    <w:rsid w:val="00425A42"/>
    <w:rsid w:val="00425C4E"/>
    <w:rsid w:val="004260C7"/>
    <w:rsid w:val="0042663F"/>
    <w:rsid w:val="004272C3"/>
    <w:rsid w:val="00427A80"/>
    <w:rsid w:val="00431ADB"/>
    <w:rsid w:val="00431C34"/>
    <w:rsid w:val="0043200F"/>
    <w:rsid w:val="00432064"/>
    <w:rsid w:val="0043305A"/>
    <w:rsid w:val="00433884"/>
    <w:rsid w:val="004339DF"/>
    <w:rsid w:val="00433D23"/>
    <w:rsid w:val="00434091"/>
    <w:rsid w:val="004350B6"/>
    <w:rsid w:val="004365DF"/>
    <w:rsid w:val="00436B3B"/>
    <w:rsid w:val="00437CF4"/>
    <w:rsid w:val="00442138"/>
    <w:rsid w:val="004423D8"/>
    <w:rsid w:val="00443156"/>
    <w:rsid w:val="004446E0"/>
    <w:rsid w:val="00444E07"/>
    <w:rsid w:val="0044512F"/>
    <w:rsid w:val="00447150"/>
    <w:rsid w:val="00447904"/>
    <w:rsid w:val="004479C9"/>
    <w:rsid w:val="00447B47"/>
    <w:rsid w:val="00447D45"/>
    <w:rsid w:val="0045028C"/>
    <w:rsid w:val="004505D8"/>
    <w:rsid w:val="00450B0D"/>
    <w:rsid w:val="00451AF0"/>
    <w:rsid w:val="00451D23"/>
    <w:rsid w:val="004520D4"/>
    <w:rsid w:val="0045354A"/>
    <w:rsid w:val="004570B1"/>
    <w:rsid w:val="004611C4"/>
    <w:rsid w:val="004613CF"/>
    <w:rsid w:val="00464915"/>
    <w:rsid w:val="004649C8"/>
    <w:rsid w:val="00465C80"/>
    <w:rsid w:val="00465EAB"/>
    <w:rsid w:val="00466779"/>
    <w:rsid w:val="00466CA5"/>
    <w:rsid w:val="0046760E"/>
    <w:rsid w:val="00467D4A"/>
    <w:rsid w:val="00467E4D"/>
    <w:rsid w:val="004703BD"/>
    <w:rsid w:val="00470678"/>
    <w:rsid w:val="00471325"/>
    <w:rsid w:val="00471670"/>
    <w:rsid w:val="00472E85"/>
    <w:rsid w:val="00473642"/>
    <w:rsid w:val="00474383"/>
    <w:rsid w:val="00475454"/>
    <w:rsid w:val="0047545F"/>
    <w:rsid w:val="004756E7"/>
    <w:rsid w:val="004761EA"/>
    <w:rsid w:val="00480459"/>
    <w:rsid w:val="004804FD"/>
    <w:rsid w:val="00481D85"/>
    <w:rsid w:val="00482330"/>
    <w:rsid w:val="00482C5B"/>
    <w:rsid w:val="0048307D"/>
    <w:rsid w:val="00483226"/>
    <w:rsid w:val="00483A04"/>
    <w:rsid w:val="0048461B"/>
    <w:rsid w:val="004846F0"/>
    <w:rsid w:val="0048503F"/>
    <w:rsid w:val="0048519B"/>
    <w:rsid w:val="00486FD7"/>
    <w:rsid w:val="00487CED"/>
    <w:rsid w:val="00487E16"/>
    <w:rsid w:val="00487E4F"/>
    <w:rsid w:val="004901CC"/>
    <w:rsid w:val="00490DE2"/>
    <w:rsid w:val="004917C9"/>
    <w:rsid w:val="004923CA"/>
    <w:rsid w:val="004936CA"/>
    <w:rsid w:val="00493F05"/>
    <w:rsid w:val="0049417C"/>
    <w:rsid w:val="00494262"/>
    <w:rsid w:val="0049432F"/>
    <w:rsid w:val="00495A6C"/>
    <w:rsid w:val="00495F63"/>
    <w:rsid w:val="00495FAF"/>
    <w:rsid w:val="00496050"/>
    <w:rsid w:val="00496089"/>
    <w:rsid w:val="00496190"/>
    <w:rsid w:val="00496DD0"/>
    <w:rsid w:val="004971D6"/>
    <w:rsid w:val="004A0796"/>
    <w:rsid w:val="004A0BEC"/>
    <w:rsid w:val="004A0DD0"/>
    <w:rsid w:val="004A0E86"/>
    <w:rsid w:val="004A17B9"/>
    <w:rsid w:val="004A2A27"/>
    <w:rsid w:val="004A2B75"/>
    <w:rsid w:val="004A3C47"/>
    <w:rsid w:val="004A3CE5"/>
    <w:rsid w:val="004A4DBD"/>
    <w:rsid w:val="004A5954"/>
    <w:rsid w:val="004A59E1"/>
    <w:rsid w:val="004A6261"/>
    <w:rsid w:val="004A67CC"/>
    <w:rsid w:val="004A7782"/>
    <w:rsid w:val="004A7D8E"/>
    <w:rsid w:val="004A7E1E"/>
    <w:rsid w:val="004B0723"/>
    <w:rsid w:val="004B15DE"/>
    <w:rsid w:val="004B201C"/>
    <w:rsid w:val="004B4398"/>
    <w:rsid w:val="004B441E"/>
    <w:rsid w:val="004B46EE"/>
    <w:rsid w:val="004B496C"/>
    <w:rsid w:val="004B4EA9"/>
    <w:rsid w:val="004B5430"/>
    <w:rsid w:val="004B5B83"/>
    <w:rsid w:val="004B64E5"/>
    <w:rsid w:val="004B6FD8"/>
    <w:rsid w:val="004B73BB"/>
    <w:rsid w:val="004B7E87"/>
    <w:rsid w:val="004C019D"/>
    <w:rsid w:val="004C01E0"/>
    <w:rsid w:val="004C0C57"/>
    <w:rsid w:val="004C12EF"/>
    <w:rsid w:val="004C1707"/>
    <w:rsid w:val="004C2903"/>
    <w:rsid w:val="004C2D8B"/>
    <w:rsid w:val="004C3BA0"/>
    <w:rsid w:val="004C6A03"/>
    <w:rsid w:val="004C6D6D"/>
    <w:rsid w:val="004C77E6"/>
    <w:rsid w:val="004D009E"/>
    <w:rsid w:val="004D10A0"/>
    <w:rsid w:val="004D1414"/>
    <w:rsid w:val="004D1CE8"/>
    <w:rsid w:val="004D225A"/>
    <w:rsid w:val="004D27B8"/>
    <w:rsid w:val="004D3483"/>
    <w:rsid w:val="004D3C44"/>
    <w:rsid w:val="004D3D51"/>
    <w:rsid w:val="004D5A91"/>
    <w:rsid w:val="004D5B43"/>
    <w:rsid w:val="004D6F96"/>
    <w:rsid w:val="004D7261"/>
    <w:rsid w:val="004D7920"/>
    <w:rsid w:val="004D79B7"/>
    <w:rsid w:val="004E1497"/>
    <w:rsid w:val="004E1694"/>
    <w:rsid w:val="004E1855"/>
    <w:rsid w:val="004E1F8D"/>
    <w:rsid w:val="004E25B1"/>
    <w:rsid w:val="004E5D8C"/>
    <w:rsid w:val="004E6CC8"/>
    <w:rsid w:val="004E6D43"/>
    <w:rsid w:val="004E76AB"/>
    <w:rsid w:val="004E7DA6"/>
    <w:rsid w:val="004F00CE"/>
    <w:rsid w:val="004F00F5"/>
    <w:rsid w:val="004F0C20"/>
    <w:rsid w:val="004F1D9A"/>
    <w:rsid w:val="004F2041"/>
    <w:rsid w:val="004F2B27"/>
    <w:rsid w:val="004F416D"/>
    <w:rsid w:val="004F4972"/>
    <w:rsid w:val="004F5B5F"/>
    <w:rsid w:val="004F6D59"/>
    <w:rsid w:val="004F7B9C"/>
    <w:rsid w:val="004F7F03"/>
    <w:rsid w:val="00500143"/>
    <w:rsid w:val="00501889"/>
    <w:rsid w:val="0050209C"/>
    <w:rsid w:val="0050243F"/>
    <w:rsid w:val="00502766"/>
    <w:rsid w:val="00503408"/>
    <w:rsid w:val="005038D4"/>
    <w:rsid w:val="005038D5"/>
    <w:rsid w:val="00503B9D"/>
    <w:rsid w:val="00503DD2"/>
    <w:rsid w:val="00504E7D"/>
    <w:rsid w:val="005059D1"/>
    <w:rsid w:val="005062C4"/>
    <w:rsid w:val="005064F2"/>
    <w:rsid w:val="00507023"/>
    <w:rsid w:val="005070B8"/>
    <w:rsid w:val="00507249"/>
    <w:rsid w:val="0050742D"/>
    <w:rsid w:val="00507ACC"/>
    <w:rsid w:val="005104BB"/>
    <w:rsid w:val="00510597"/>
    <w:rsid w:val="00510988"/>
    <w:rsid w:val="00511436"/>
    <w:rsid w:val="00511ED9"/>
    <w:rsid w:val="005129C7"/>
    <w:rsid w:val="005132FC"/>
    <w:rsid w:val="005141DB"/>
    <w:rsid w:val="005149C4"/>
    <w:rsid w:val="0051553B"/>
    <w:rsid w:val="00515EBD"/>
    <w:rsid w:val="00516507"/>
    <w:rsid w:val="0051752B"/>
    <w:rsid w:val="00520051"/>
    <w:rsid w:val="00521C75"/>
    <w:rsid w:val="00521DBC"/>
    <w:rsid w:val="005221E0"/>
    <w:rsid w:val="00522BC2"/>
    <w:rsid w:val="005233CC"/>
    <w:rsid w:val="005268D6"/>
    <w:rsid w:val="00526ABA"/>
    <w:rsid w:val="00527815"/>
    <w:rsid w:val="0053001B"/>
    <w:rsid w:val="0053009D"/>
    <w:rsid w:val="005300C9"/>
    <w:rsid w:val="005306BC"/>
    <w:rsid w:val="00531381"/>
    <w:rsid w:val="005322E0"/>
    <w:rsid w:val="00532ABD"/>
    <w:rsid w:val="00532CFB"/>
    <w:rsid w:val="00534372"/>
    <w:rsid w:val="0053522A"/>
    <w:rsid w:val="0053546D"/>
    <w:rsid w:val="00535940"/>
    <w:rsid w:val="00535E16"/>
    <w:rsid w:val="00535E21"/>
    <w:rsid w:val="00536FF7"/>
    <w:rsid w:val="005371E2"/>
    <w:rsid w:val="00537A96"/>
    <w:rsid w:val="00537F30"/>
    <w:rsid w:val="00540091"/>
    <w:rsid w:val="0054030B"/>
    <w:rsid w:val="00541928"/>
    <w:rsid w:val="00542799"/>
    <w:rsid w:val="005436EC"/>
    <w:rsid w:val="0054370A"/>
    <w:rsid w:val="0054489F"/>
    <w:rsid w:val="00545522"/>
    <w:rsid w:val="00546669"/>
    <w:rsid w:val="00546BDD"/>
    <w:rsid w:val="00551022"/>
    <w:rsid w:val="0055384F"/>
    <w:rsid w:val="005538FC"/>
    <w:rsid w:val="00554C2E"/>
    <w:rsid w:val="005550C0"/>
    <w:rsid w:val="005550D7"/>
    <w:rsid w:val="00555363"/>
    <w:rsid w:val="00555A21"/>
    <w:rsid w:val="00557832"/>
    <w:rsid w:val="0055794A"/>
    <w:rsid w:val="00560159"/>
    <w:rsid w:val="0056016A"/>
    <w:rsid w:val="005612D6"/>
    <w:rsid w:val="00561A68"/>
    <w:rsid w:val="005629B0"/>
    <w:rsid w:val="00562DF0"/>
    <w:rsid w:val="00563136"/>
    <w:rsid w:val="00564848"/>
    <w:rsid w:val="005662B4"/>
    <w:rsid w:val="00566481"/>
    <w:rsid w:val="00566649"/>
    <w:rsid w:val="00566CF9"/>
    <w:rsid w:val="005671DA"/>
    <w:rsid w:val="0056720C"/>
    <w:rsid w:val="0056748D"/>
    <w:rsid w:val="00567C6D"/>
    <w:rsid w:val="00567CD0"/>
    <w:rsid w:val="00567F06"/>
    <w:rsid w:val="00570D7F"/>
    <w:rsid w:val="00570E3A"/>
    <w:rsid w:val="00570FAE"/>
    <w:rsid w:val="00571289"/>
    <w:rsid w:val="005714B1"/>
    <w:rsid w:val="005718CC"/>
    <w:rsid w:val="0057199A"/>
    <w:rsid w:val="00572037"/>
    <w:rsid w:val="005726C4"/>
    <w:rsid w:val="00572ED9"/>
    <w:rsid w:val="005735ED"/>
    <w:rsid w:val="0057415D"/>
    <w:rsid w:val="00575914"/>
    <w:rsid w:val="00576062"/>
    <w:rsid w:val="005769F8"/>
    <w:rsid w:val="00576FEE"/>
    <w:rsid w:val="00580251"/>
    <w:rsid w:val="00580B44"/>
    <w:rsid w:val="00581D9D"/>
    <w:rsid w:val="0058223B"/>
    <w:rsid w:val="00582926"/>
    <w:rsid w:val="00583142"/>
    <w:rsid w:val="00583348"/>
    <w:rsid w:val="00583837"/>
    <w:rsid w:val="00583DB8"/>
    <w:rsid w:val="00584013"/>
    <w:rsid w:val="005842F4"/>
    <w:rsid w:val="00584AF9"/>
    <w:rsid w:val="00587908"/>
    <w:rsid w:val="00590159"/>
    <w:rsid w:val="0059047D"/>
    <w:rsid w:val="005904C5"/>
    <w:rsid w:val="00590D18"/>
    <w:rsid w:val="0059158B"/>
    <w:rsid w:val="0059175B"/>
    <w:rsid w:val="00591B93"/>
    <w:rsid w:val="00591CD4"/>
    <w:rsid w:val="0059269B"/>
    <w:rsid w:val="0059412D"/>
    <w:rsid w:val="00596353"/>
    <w:rsid w:val="00597647"/>
    <w:rsid w:val="0059785B"/>
    <w:rsid w:val="005A104E"/>
    <w:rsid w:val="005A1144"/>
    <w:rsid w:val="005A17C7"/>
    <w:rsid w:val="005A2374"/>
    <w:rsid w:val="005A2F49"/>
    <w:rsid w:val="005A3431"/>
    <w:rsid w:val="005A3531"/>
    <w:rsid w:val="005A3954"/>
    <w:rsid w:val="005A3FEB"/>
    <w:rsid w:val="005A3FEF"/>
    <w:rsid w:val="005A4543"/>
    <w:rsid w:val="005A48B1"/>
    <w:rsid w:val="005A5084"/>
    <w:rsid w:val="005A50DF"/>
    <w:rsid w:val="005A59F1"/>
    <w:rsid w:val="005A5CC7"/>
    <w:rsid w:val="005A691B"/>
    <w:rsid w:val="005B0243"/>
    <w:rsid w:val="005B088C"/>
    <w:rsid w:val="005B0C69"/>
    <w:rsid w:val="005B1738"/>
    <w:rsid w:val="005B275B"/>
    <w:rsid w:val="005B293B"/>
    <w:rsid w:val="005B29F2"/>
    <w:rsid w:val="005B2B64"/>
    <w:rsid w:val="005B2E35"/>
    <w:rsid w:val="005B3909"/>
    <w:rsid w:val="005B4603"/>
    <w:rsid w:val="005B46D9"/>
    <w:rsid w:val="005B6F0D"/>
    <w:rsid w:val="005C0122"/>
    <w:rsid w:val="005C0DD2"/>
    <w:rsid w:val="005C0DDF"/>
    <w:rsid w:val="005C1728"/>
    <w:rsid w:val="005C1C02"/>
    <w:rsid w:val="005C3740"/>
    <w:rsid w:val="005C43DA"/>
    <w:rsid w:val="005C6407"/>
    <w:rsid w:val="005C654C"/>
    <w:rsid w:val="005C6FE2"/>
    <w:rsid w:val="005C74DF"/>
    <w:rsid w:val="005C760B"/>
    <w:rsid w:val="005D1F5D"/>
    <w:rsid w:val="005D2558"/>
    <w:rsid w:val="005D30C7"/>
    <w:rsid w:val="005D3146"/>
    <w:rsid w:val="005D414E"/>
    <w:rsid w:val="005D509E"/>
    <w:rsid w:val="005D6182"/>
    <w:rsid w:val="005D63D9"/>
    <w:rsid w:val="005D6457"/>
    <w:rsid w:val="005D6F41"/>
    <w:rsid w:val="005E00D8"/>
    <w:rsid w:val="005E00FE"/>
    <w:rsid w:val="005E04E5"/>
    <w:rsid w:val="005E1027"/>
    <w:rsid w:val="005E247A"/>
    <w:rsid w:val="005E253F"/>
    <w:rsid w:val="005E2991"/>
    <w:rsid w:val="005E2EDD"/>
    <w:rsid w:val="005E3259"/>
    <w:rsid w:val="005E325D"/>
    <w:rsid w:val="005E3292"/>
    <w:rsid w:val="005E3394"/>
    <w:rsid w:val="005E33D8"/>
    <w:rsid w:val="005E433B"/>
    <w:rsid w:val="005E4495"/>
    <w:rsid w:val="005E48E9"/>
    <w:rsid w:val="005E5446"/>
    <w:rsid w:val="005E5C8D"/>
    <w:rsid w:val="005E62C4"/>
    <w:rsid w:val="005E6931"/>
    <w:rsid w:val="005E6E8E"/>
    <w:rsid w:val="005F07AE"/>
    <w:rsid w:val="005F16AD"/>
    <w:rsid w:val="005F2F30"/>
    <w:rsid w:val="005F359C"/>
    <w:rsid w:val="005F4470"/>
    <w:rsid w:val="005F4784"/>
    <w:rsid w:val="005F4BC4"/>
    <w:rsid w:val="005F4E9E"/>
    <w:rsid w:val="005F54D5"/>
    <w:rsid w:val="005F5B7B"/>
    <w:rsid w:val="005F6815"/>
    <w:rsid w:val="005F7367"/>
    <w:rsid w:val="005F76AF"/>
    <w:rsid w:val="005F7B0D"/>
    <w:rsid w:val="006006B2"/>
    <w:rsid w:val="00600E54"/>
    <w:rsid w:val="00601148"/>
    <w:rsid w:val="00602062"/>
    <w:rsid w:val="006020C9"/>
    <w:rsid w:val="006024FA"/>
    <w:rsid w:val="0060264B"/>
    <w:rsid w:val="00602650"/>
    <w:rsid w:val="00602D7D"/>
    <w:rsid w:val="00603541"/>
    <w:rsid w:val="00603CF8"/>
    <w:rsid w:val="0060458E"/>
    <w:rsid w:val="006050D1"/>
    <w:rsid w:val="006058C7"/>
    <w:rsid w:val="00605EC9"/>
    <w:rsid w:val="00605FC8"/>
    <w:rsid w:val="00606068"/>
    <w:rsid w:val="00606187"/>
    <w:rsid w:val="0060641B"/>
    <w:rsid w:val="0060673C"/>
    <w:rsid w:val="00606991"/>
    <w:rsid w:val="00606A70"/>
    <w:rsid w:val="00606C62"/>
    <w:rsid w:val="00606F71"/>
    <w:rsid w:val="0061045C"/>
    <w:rsid w:val="00610546"/>
    <w:rsid w:val="006106DF"/>
    <w:rsid w:val="0061170E"/>
    <w:rsid w:val="0061177D"/>
    <w:rsid w:val="00611D82"/>
    <w:rsid w:val="006139CC"/>
    <w:rsid w:val="00614748"/>
    <w:rsid w:val="006155F6"/>
    <w:rsid w:val="006160F7"/>
    <w:rsid w:val="0061670F"/>
    <w:rsid w:val="00616A94"/>
    <w:rsid w:val="00616E36"/>
    <w:rsid w:val="006170D9"/>
    <w:rsid w:val="006171BE"/>
    <w:rsid w:val="0061748A"/>
    <w:rsid w:val="00620030"/>
    <w:rsid w:val="006203EE"/>
    <w:rsid w:val="006205EC"/>
    <w:rsid w:val="0062077F"/>
    <w:rsid w:val="006227F7"/>
    <w:rsid w:val="00622849"/>
    <w:rsid w:val="006228C1"/>
    <w:rsid w:val="006240C4"/>
    <w:rsid w:val="00625B91"/>
    <w:rsid w:val="00626CA5"/>
    <w:rsid w:val="0062703F"/>
    <w:rsid w:val="006273A3"/>
    <w:rsid w:val="00627766"/>
    <w:rsid w:val="00627C4D"/>
    <w:rsid w:val="00627E9D"/>
    <w:rsid w:val="006313EB"/>
    <w:rsid w:val="006324B3"/>
    <w:rsid w:val="00632CC4"/>
    <w:rsid w:val="006336C4"/>
    <w:rsid w:val="00633FB7"/>
    <w:rsid w:val="00635270"/>
    <w:rsid w:val="006361D6"/>
    <w:rsid w:val="00636AB4"/>
    <w:rsid w:val="00636CB5"/>
    <w:rsid w:val="00637F20"/>
    <w:rsid w:val="006403E8"/>
    <w:rsid w:val="006407E6"/>
    <w:rsid w:val="006409BA"/>
    <w:rsid w:val="00640B01"/>
    <w:rsid w:val="0064234C"/>
    <w:rsid w:val="00642457"/>
    <w:rsid w:val="0064266C"/>
    <w:rsid w:val="0064272E"/>
    <w:rsid w:val="00642757"/>
    <w:rsid w:val="00642AC4"/>
    <w:rsid w:val="00642D24"/>
    <w:rsid w:val="00643912"/>
    <w:rsid w:val="00644DD7"/>
    <w:rsid w:val="00644E96"/>
    <w:rsid w:val="00644FF0"/>
    <w:rsid w:val="0064521A"/>
    <w:rsid w:val="0064680D"/>
    <w:rsid w:val="00646E63"/>
    <w:rsid w:val="0065166E"/>
    <w:rsid w:val="006518BB"/>
    <w:rsid w:val="006525B2"/>
    <w:rsid w:val="00652804"/>
    <w:rsid w:val="00652807"/>
    <w:rsid w:val="006535DD"/>
    <w:rsid w:val="006543D7"/>
    <w:rsid w:val="006545D6"/>
    <w:rsid w:val="0065546D"/>
    <w:rsid w:val="00657C07"/>
    <w:rsid w:val="00657F4A"/>
    <w:rsid w:val="00660A2E"/>
    <w:rsid w:val="00660AAD"/>
    <w:rsid w:val="00661FF4"/>
    <w:rsid w:val="00664B35"/>
    <w:rsid w:val="00664F71"/>
    <w:rsid w:val="006656E8"/>
    <w:rsid w:val="00665F98"/>
    <w:rsid w:val="00667097"/>
    <w:rsid w:val="0066746A"/>
    <w:rsid w:val="006675EB"/>
    <w:rsid w:val="00670351"/>
    <w:rsid w:val="00670DAF"/>
    <w:rsid w:val="006711B4"/>
    <w:rsid w:val="00671F60"/>
    <w:rsid w:val="00672ABE"/>
    <w:rsid w:val="00673AD1"/>
    <w:rsid w:val="006744D0"/>
    <w:rsid w:val="00674DE8"/>
    <w:rsid w:val="00675855"/>
    <w:rsid w:val="00675F16"/>
    <w:rsid w:val="00675FF0"/>
    <w:rsid w:val="00676244"/>
    <w:rsid w:val="006764EB"/>
    <w:rsid w:val="00676748"/>
    <w:rsid w:val="00676915"/>
    <w:rsid w:val="00676CB0"/>
    <w:rsid w:val="006774ED"/>
    <w:rsid w:val="00680803"/>
    <w:rsid w:val="00680AF0"/>
    <w:rsid w:val="0068106C"/>
    <w:rsid w:val="00681663"/>
    <w:rsid w:val="00681BC8"/>
    <w:rsid w:val="006820E2"/>
    <w:rsid w:val="006823FD"/>
    <w:rsid w:val="0068366A"/>
    <w:rsid w:val="00683A55"/>
    <w:rsid w:val="00684168"/>
    <w:rsid w:val="006847BD"/>
    <w:rsid w:val="00684A29"/>
    <w:rsid w:val="006851D5"/>
    <w:rsid w:val="006854FF"/>
    <w:rsid w:val="006857ED"/>
    <w:rsid w:val="00685E1D"/>
    <w:rsid w:val="006865D6"/>
    <w:rsid w:val="0068756C"/>
    <w:rsid w:val="00687FF9"/>
    <w:rsid w:val="00690F06"/>
    <w:rsid w:val="006912A6"/>
    <w:rsid w:val="0069133C"/>
    <w:rsid w:val="006914CB"/>
    <w:rsid w:val="006919FD"/>
    <w:rsid w:val="0069256E"/>
    <w:rsid w:val="00692A40"/>
    <w:rsid w:val="00694151"/>
    <w:rsid w:val="00694303"/>
    <w:rsid w:val="00694470"/>
    <w:rsid w:val="00695116"/>
    <w:rsid w:val="006959A4"/>
    <w:rsid w:val="006961B5"/>
    <w:rsid w:val="00696394"/>
    <w:rsid w:val="006A0011"/>
    <w:rsid w:val="006A0160"/>
    <w:rsid w:val="006A05EB"/>
    <w:rsid w:val="006A12C8"/>
    <w:rsid w:val="006A1486"/>
    <w:rsid w:val="006A1A54"/>
    <w:rsid w:val="006A26D9"/>
    <w:rsid w:val="006A2CC6"/>
    <w:rsid w:val="006A771D"/>
    <w:rsid w:val="006B0314"/>
    <w:rsid w:val="006B054C"/>
    <w:rsid w:val="006B072C"/>
    <w:rsid w:val="006B0F18"/>
    <w:rsid w:val="006B12E7"/>
    <w:rsid w:val="006B2682"/>
    <w:rsid w:val="006B26CA"/>
    <w:rsid w:val="006B343F"/>
    <w:rsid w:val="006B3E3A"/>
    <w:rsid w:val="006B610B"/>
    <w:rsid w:val="006B6FC7"/>
    <w:rsid w:val="006C01F4"/>
    <w:rsid w:val="006C210E"/>
    <w:rsid w:val="006C32FD"/>
    <w:rsid w:val="006C389E"/>
    <w:rsid w:val="006C47ED"/>
    <w:rsid w:val="006C4C4D"/>
    <w:rsid w:val="006C543F"/>
    <w:rsid w:val="006C5B71"/>
    <w:rsid w:val="006C6CF8"/>
    <w:rsid w:val="006C717F"/>
    <w:rsid w:val="006C7E03"/>
    <w:rsid w:val="006D0B75"/>
    <w:rsid w:val="006D10A0"/>
    <w:rsid w:val="006D110D"/>
    <w:rsid w:val="006D1F9A"/>
    <w:rsid w:val="006D24B4"/>
    <w:rsid w:val="006D2501"/>
    <w:rsid w:val="006D2B73"/>
    <w:rsid w:val="006D2ED9"/>
    <w:rsid w:val="006D36BC"/>
    <w:rsid w:val="006D3774"/>
    <w:rsid w:val="006D3CC2"/>
    <w:rsid w:val="006D4341"/>
    <w:rsid w:val="006D6527"/>
    <w:rsid w:val="006D6DFC"/>
    <w:rsid w:val="006D70A3"/>
    <w:rsid w:val="006D75AB"/>
    <w:rsid w:val="006D7639"/>
    <w:rsid w:val="006D7812"/>
    <w:rsid w:val="006E006E"/>
    <w:rsid w:val="006E039E"/>
    <w:rsid w:val="006E094F"/>
    <w:rsid w:val="006E1548"/>
    <w:rsid w:val="006E186E"/>
    <w:rsid w:val="006E21C7"/>
    <w:rsid w:val="006E3447"/>
    <w:rsid w:val="006E359E"/>
    <w:rsid w:val="006E40D7"/>
    <w:rsid w:val="006E4307"/>
    <w:rsid w:val="006E4464"/>
    <w:rsid w:val="006E57B7"/>
    <w:rsid w:val="006E5E52"/>
    <w:rsid w:val="006E62E5"/>
    <w:rsid w:val="006E6DD4"/>
    <w:rsid w:val="006E7032"/>
    <w:rsid w:val="006F02FC"/>
    <w:rsid w:val="006F0484"/>
    <w:rsid w:val="006F1CF0"/>
    <w:rsid w:val="006F2EDD"/>
    <w:rsid w:val="006F5075"/>
    <w:rsid w:val="006F74E7"/>
    <w:rsid w:val="006F7737"/>
    <w:rsid w:val="006F7EF1"/>
    <w:rsid w:val="00700293"/>
    <w:rsid w:val="00700889"/>
    <w:rsid w:val="007017E3"/>
    <w:rsid w:val="00701823"/>
    <w:rsid w:val="007031A8"/>
    <w:rsid w:val="00703505"/>
    <w:rsid w:val="00703B6E"/>
    <w:rsid w:val="0070497A"/>
    <w:rsid w:val="00706360"/>
    <w:rsid w:val="0070661E"/>
    <w:rsid w:val="00706A6C"/>
    <w:rsid w:val="00710A3B"/>
    <w:rsid w:val="007116B0"/>
    <w:rsid w:val="00712455"/>
    <w:rsid w:val="00712765"/>
    <w:rsid w:val="007128A0"/>
    <w:rsid w:val="00712E89"/>
    <w:rsid w:val="00712FB9"/>
    <w:rsid w:val="0071356A"/>
    <w:rsid w:val="0071459C"/>
    <w:rsid w:val="007148D7"/>
    <w:rsid w:val="0071570F"/>
    <w:rsid w:val="00715B14"/>
    <w:rsid w:val="00717214"/>
    <w:rsid w:val="00717829"/>
    <w:rsid w:val="00717875"/>
    <w:rsid w:val="00717AFD"/>
    <w:rsid w:val="00720683"/>
    <w:rsid w:val="00721BDF"/>
    <w:rsid w:val="00721E34"/>
    <w:rsid w:val="00722444"/>
    <w:rsid w:val="00722C39"/>
    <w:rsid w:val="0072506D"/>
    <w:rsid w:val="00725A40"/>
    <w:rsid w:val="00726E7C"/>
    <w:rsid w:val="00731268"/>
    <w:rsid w:val="00731664"/>
    <w:rsid w:val="00731B97"/>
    <w:rsid w:val="00732412"/>
    <w:rsid w:val="00732C62"/>
    <w:rsid w:val="00733A32"/>
    <w:rsid w:val="007341CC"/>
    <w:rsid w:val="00734AFE"/>
    <w:rsid w:val="00734DB6"/>
    <w:rsid w:val="00736A6A"/>
    <w:rsid w:val="00737920"/>
    <w:rsid w:val="00741AC0"/>
    <w:rsid w:val="00743131"/>
    <w:rsid w:val="007440FF"/>
    <w:rsid w:val="00744E38"/>
    <w:rsid w:val="00744E60"/>
    <w:rsid w:val="00744FEF"/>
    <w:rsid w:val="007454CF"/>
    <w:rsid w:val="007477CD"/>
    <w:rsid w:val="00747F10"/>
    <w:rsid w:val="00747F75"/>
    <w:rsid w:val="00750265"/>
    <w:rsid w:val="007505CF"/>
    <w:rsid w:val="00751182"/>
    <w:rsid w:val="00751CD5"/>
    <w:rsid w:val="007520BE"/>
    <w:rsid w:val="00754FF1"/>
    <w:rsid w:val="0075506E"/>
    <w:rsid w:val="007561B6"/>
    <w:rsid w:val="00756851"/>
    <w:rsid w:val="00756AB0"/>
    <w:rsid w:val="00756D1B"/>
    <w:rsid w:val="007578E9"/>
    <w:rsid w:val="00757A88"/>
    <w:rsid w:val="007603EB"/>
    <w:rsid w:val="0076080A"/>
    <w:rsid w:val="00760E3A"/>
    <w:rsid w:val="007624CB"/>
    <w:rsid w:val="007627E5"/>
    <w:rsid w:val="0076348F"/>
    <w:rsid w:val="00763899"/>
    <w:rsid w:val="00764696"/>
    <w:rsid w:val="007647C0"/>
    <w:rsid w:val="00765B3A"/>
    <w:rsid w:val="00766186"/>
    <w:rsid w:val="0076661B"/>
    <w:rsid w:val="00767126"/>
    <w:rsid w:val="00767FFC"/>
    <w:rsid w:val="007704F0"/>
    <w:rsid w:val="007723B9"/>
    <w:rsid w:val="007729D3"/>
    <w:rsid w:val="00773D45"/>
    <w:rsid w:val="00773FAC"/>
    <w:rsid w:val="00774C98"/>
    <w:rsid w:val="00774D05"/>
    <w:rsid w:val="00775B60"/>
    <w:rsid w:val="00776020"/>
    <w:rsid w:val="00777931"/>
    <w:rsid w:val="00777AEA"/>
    <w:rsid w:val="00780536"/>
    <w:rsid w:val="00780C39"/>
    <w:rsid w:val="0078105A"/>
    <w:rsid w:val="0078156E"/>
    <w:rsid w:val="007819D6"/>
    <w:rsid w:val="00783C3F"/>
    <w:rsid w:val="00784156"/>
    <w:rsid w:val="00784BA3"/>
    <w:rsid w:val="00785604"/>
    <w:rsid w:val="00785892"/>
    <w:rsid w:val="0078690A"/>
    <w:rsid w:val="00786B3F"/>
    <w:rsid w:val="00786B70"/>
    <w:rsid w:val="00786F29"/>
    <w:rsid w:val="00790104"/>
    <w:rsid w:val="007904C1"/>
    <w:rsid w:val="007905E7"/>
    <w:rsid w:val="00790B2F"/>
    <w:rsid w:val="00791D63"/>
    <w:rsid w:val="00791E28"/>
    <w:rsid w:val="00792701"/>
    <w:rsid w:val="00793ABF"/>
    <w:rsid w:val="0079444B"/>
    <w:rsid w:val="007945BC"/>
    <w:rsid w:val="00794B42"/>
    <w:rsid w:val="00794BD9"/>
    <w:rsid w:val="00794F6F"/>
    <w:rsid w:val="007963A7"/>
    <w:rsid w:val="0079738E"/>
    <w:rsid w:val="00797B9F"/>
    <w:rsid w:val="00797BE3"/>
    <w:rsid w:val="00797DD2"/>
    <w:rsid w:val="007A0010"/>
    <w:rsid w:val="007A0AA8"/>
    <w:rsid w:val="007A1614"/>
    <w:rsid w:val="007A2B48"/>
    <w:rsid w:val="007A3AA3"/>
    <w:rsid w:val="007A437F"/>
    <w:rsid w:val="007A6B90"/>
    <w:rsid w:val="007A706B"/>
    <w:rsid w:val="007B06E3"/>
    <w:rsid w:val="007B0812"/>
    <w:rsid w:val="007B0827"/>
    <w:rsid w:val="007B082D"/>
    <w:rsid w:val="007B09A2"/>
    <w:rsid w:val="007B2A88"/>
    <w:rsid w:val="007B34EE"/>
    <w:rsid w:val="007B374B"/>
    <w:rsid w:val="007B485A"/>
    <w:rsid w:val="007B4B1D"/>
    <w:rsid w:val="007B4F73"/>
    <w:rsid w:val="007B5449"/>
    <w:rsid w:val="007B61AC"/>
    <w:rsid w:val="007B7282"/>
    <w:rsid w:val="007B79D7"/>
    <w:rsid w:val="007B7AE0"/>
    <w:rsid w:val="007B7B0E"/>
    <w:rsid w:val="007C002C"/>
    <w:rsid w:val="007C0252"/>
    <w:rsid w:val="007C0CAF"/>
    <w:rsid w:val="007C14B3"/>
    <w:rsid w:val="007C2683"/>
    <w:rsid w:val="007C27B4"/>
    <w:rsid w:val="007C2DB2"/>
    <w:rsid w:val="007C3170"/>
    <w:rsid w:val="007C35B6"/>
    <w:rsid w:val="007C3E2D"/>
    <w:rsid w:val="007C4FB7"/>
    <w:rsid w:val="007C568C"/>
    <w:rsid w:val="007C59B3"/>
    <w:rsid w:val="007D10B6"/>
    <w:rsid w:val="007D14C2"/>
    <w:rsid w:val="007D17DE"/>
    <w:rsid w:val="007D1B02"/>
    <w:rsid w:val="007D1FF1"/>
    <w:rsid w:val="007D243A"/>
    <w:rsid w:val="007D2885"/>
    <w:rsid w:val="007D3D60"/>
    <w:rsid w:val="007D415F"/>
    <w:rsid w:val="007D45B0"/>
    <w:rsid w:val="007D49A6"/>
    <w:rsid w:val="007D5F8D"/>
    <w:rsid w:val="007D6076"/>
    <w:rsid w:val="007D697F"/>
    <w:rsid w:val="007D6F4A"/>
    <w:rsid w:val="007D7A4C"/>
    <w:rsid w:val="007D7EDF"/>
    <w:rsid w:val="007E171B"/>
    <w:rsid w:val="007E1802"/>
    <w:rsid w:val="007E18C3"/>
    <w:rsid w:val="007E3195"/>
    <w:rsid w:val="007E3C92"/>
    <w:rsid w:val="007E531B"/>
    <w:rsid w:val="007E5E53"/>
    <w:rsid w:val="007E671F"/>
    <w:rsid w:val="007E7C2A"/>
    <w:rsid w:val="007E7CCE"/>
    <w:rsid w:val="007F0BF0"/>
    <w:rsid w:val="007F0C08"/>
    <w:rsid w:val="007F0F1E"/>
    <w:rsid w:val="007F1884"/>
    <w:rsid w:val="007F1988"/>
    <w:rsid w:val="007F23D0"/>
    <w:rsid w:val="007F2AE6"/>
    <w:rsid w:val="007F354F"/>
    <w:rsid w:val="007F3603"/>
    <w:rsid w:val="007F44BB"/>
    <w:rsid w:val="007F5832"/>
    <w:rsid w:val="007F7000"/>
    <w:rsid w:val="007F7630"/>
    <w:rsid w:val="007F7A20"/>
    <w:rsid w:val="007F7B38"/>
    <w:rsid w:val="007F7B95"/>
    <w:rsid w:val="00800089"/>
    <w:rsid w:val="00800634"/>
    <w:rsid w:val="008008F7"/>
    <w:rsid w:val="00800AAA"/>
    <w:rsid w:val="00800E9B"/>
    <w:rsid w:val="0080111B"/>
    <w:rsid w:val="00801C0A"/>
    <w:rsid w:val="008022F9"/>
    <w:rsid w:val="008035A0"/>
    <w:rsid w:val="008036BB"/>
    <w:rsid w:val="00804F7B"/>
    <w:rsid w:val="00805652"/>
    <w:rsid w:val="00806177"/>
    <w:rsid w:val="008071D7"/>
    <w:rsid w:val="00807D3F"/>
    <w:rsid w:val="0081042C"/>
    <w:rsid w:val="00810758"/>
    <w:rsid w:val="00810AD2"/>
    <w:rsid w:val="00811E8E"/>
    <w:rsid w:val="00812971"/>
    <w:rsid w:val="008144E7"/>
    <w:rsid w:val="008146D2"/>
    <w:rsid w:val="00814930"/>
    <w:rsid w:val="0081501A"/>
    <w:rsid w:val="008158D7"/>
    <w:rsid w:val="00816A18"/>
    <w:rsid w:val="00816ABF"/>
    <w:rsid w:val="00816BE0"/>
    <w:rsid w:val="008177E1"/>
    <w:rsid w:val="0082018D"/>
    <w:rsid w:val="00820326"/>
    <w:rsid w:val="00821333"/>
    <w:rsid w:val="008215D4"/>
    <w:rsid w:val="008217AB"/>
    <w:rsid w:val="0082345A"/>
    <w:rsid w:val="008235EB"/>
    <w:rsid w:val="00824F2B"/>
    <w:rsid w:val="00825C6C"/>
    <w:rsid w:val="008268E9"/>
    <w:rsid w:val="00826B61"/>
    <w:rsid w:val="00826D1B"/>
    <w:rsid w:val="008276DF"/>
    <w:rsid w:val="00827E1F"/>
    <w:rsid w:val="00830784"/>
    <w:rsid w:val="0083082A"/>
    <w:rsid w:val="00830AB8"/>
    <w:rsid w:val="00830B01"/>
    <w:rsid w:val="00831525"/>
    <w:rsid w:val="00831C73"/>
    <w:rsid w:val="008334C5"/>
    <w:rsid w:val="0083376F"/>
    <w:rsid w:val="00835154"/>
    <w:rsid w:val="00835565"/>
    <w:rsid w:val="008357B3"/>
    <w:rsid w:val="00835A28"/>
    <w:rsid w:val="008366F6"/>
    <w:rsid w:val="008367F3"/>
    <w:rsid w:val="008379BB"/>
    <w:rsid w:val="00840D7F"/>
    <w:rsid w:val="00841E13"/>
    <w:rsid w:val="00842293"/>
    <w:rsid w:val="00842608"/>
    <w:rsid w:val="0084305E"/>
    <w:rsid w:val="00843676"/>
    <w:rsid w:val="00844184"/>
    <w:rsid w:val="0084519F"/>
    <w:rsid w:val="00845DE9"/>
    <w:rsid w:val="0084671E"/>
    <w:rsid w:val="00846C39"/>
    <w:rsid w:val="0084708B"/>
    <w:rsid w:val="00847394"/>
    <w:rsid w:val="008477A7"/>
    <w:rsid w:val="00850280"/>
    <w:rsid w:val="00851EDE"/>
    <w:rsid w:val="00851FD8"/>
    <w:rsid w:val="00852979"/>
    <w:rsid w:val="00852B85"/>
    <w:rsid w:val="00852CFC"/>
    <w:rsid w:val="008544BB"/>
    <w:rsid w:val="00854D51"/>
    <w:rsid w:val="00855F96"/>
    <w:rsid w:val="00856937"/>
    <w:rsid w:val="00856AB0"/>
    <w:rsid w:val="008574D4"/>
    <w:rsid w:val="008609EC"/>
    <w:rsid w:val="00860D42"/>
    <w:rsid w:val="00860F3D"/>
    <w:rsid w:val="00861794"/>
    <w:rsid w:val="00861800"/>
    <w:rsid w:val="00862454"/>
    <w:rsid w:val="00863470"/>
    <w:rsid w:val="0086386A"/>
    <w:rsid w:val="00863C0A"/>
    <w:rsid w:val="00864317"/>
    <w:rsid w:val="008643A0"/>
    <w:rsid w:val="008668A3"/>
    <w:rsid w:val="008673D1"/>
    <w:rsid w:val="008678A3"/>
    <w:rsid w:val="00871298"/>
    <w:rsid w:val="0087148E"/>
    <w:rsid w:val="00871A01"/>
    <w:rsid w:val="008722D1"/>
    <w:rsid w:val="00873A11"/>
    <w:rsid w:val="00873B07"/>
    <w:rsid w:val="008749DC"/>
    <w:rsid w:val="00874E20"/>
    <w:rsid w:val="008754DD"/>
    <w:rsid w:val="008757B2"/>
    <w:rsid w:val="00875DE0"/>
    <w:rsid w:val="00876063"/>
    <w:rsid w:val="0087682F"/>
    <w:rsid w:val="00876C65"/>
    <w:rsid w:val="008775CD"/>
    <w:rsid w:val="00877C70"/>
    <w:rsid w:val="0088128E"/>
    <w:rsid w:val="00882163"/>
    <w:rsid w:val="0088250B"/>
    <w:rsid w:val="0088287C"/>
    <w:rsid w:val="00883D7A"/>
    <w:rsid w:val="00884394"/>
    <w:rsid w:val="008848E0"/>
    <w:rsid w:val="008851B8"/>
    <w:rsid w:val="00885820"/>
    <w:rsid w:val="00885D84"/>
    <w:rsid w:val="00887C67"/>
    <w:rsid w:val="0089047F"/>
    <w:rsid w:val="00890B4C"/>
    <w:rsid w:val="008937E7"/>
    <w:rsid w:val="00893B0A"/>
    <w:rsid w:val="0089482E"/>
    <w:rsid w:val="00895915"/>
    <w:rsid w:val="00896DAE"/>
    <w:rsid w:val="008A118C"/>
    <w:rsid w:val="008A1AC3"/>
    <w:rsid w:val="008A2D09"/>
    <w:rsid w:val="008A41E8"/>
    <w:rsid w:val="008A4247"/>
    <w:rsid w:val="008A477F"/>
    <w:rsid w:val="008A4EFE"/>
    <w:rsid w:val="008A5808"/>
    <w:rsid w:val="008A7518"/>
    <w:rsid w:val="008A7FD6"/>
    <w:rsid w:val="008B028C"/>
    <w:rsid w:val="008B15BE"/>
    <w:rsid w:val="008B1EBA"/>
    <w:rsid w:val="008B282F"/>
    <w:rsid w:val="008B2CE5"/>
    <w:rsid w:val="008B2E58"/>
    <w:rsid w:val="008B3C94"/>
    <w:rsid w:val="008B53CC"/>
    <w:rsid w:val="008B5BFF"/>
    <w:rsid w:val="008B6B28"/>
    <w:rsid w:val="008C048B"/>
    <w:rsid w:val="008C0F04"/>
    <w:rsid w:val="008C0F40"/>
    <w:rsid w:val="008C26DD"/>
    <w:rsid w:val="008C316B"/>
    <w:rsid w:val="008C3266"/>
    <w:rsid w:val="008C49D8"/>
    <w:rsid w:val="008C4ADB"/>
    <w:rsid w:val="008C4B97"/>
    <w:rsid w:val="008C538E"/>
    <w:rsid w:val="008C5AF8"/>
    <w:rsid w:val="008C61BE"/>
    <w:rsid w:val="008C6C12"/>
    <w:rsid w:val="008D07AA"/>
    <w:rsid w:val="008D269B"/>
    <w:rsid w:val="008D3A34"/>
    <w:rsid w:val="008D41AF"/>
    <w:rsid w:val="008D4711"/>
    <w:rsid w:val="008D4A6B"/>
    <w:rsid w:val="008D4A7C"/>
    <w:rsid w:val="008D4E50"/>
    <w:rsid w:val="008D515D"/>
    <w:rsid w:val="008D6B07"/>
    <w:rsid w:val="008E0046"/>
    <w:rsid w:val="008E054B"/>
    <w:rsid w:val="008E0E5B"/>
    <w:rsid w:val="008E0E6C"/>
    <w:rsid w:val="008E11F9"/>
    <w:rsid w:val="008E14AE"/>
    <w:rsid w:val="008E1F4B"/>
    <w:rsid w:val="008E23F5"/>
    <w:rsid w:val="008E34E7"/>
    <w:rsid w:val="008E365B"/>
    <w:rsid w:val="008E38E7"/>
    <w:rsid w:val="008E3D4D"/>
    <w:rsid w:val="008E4103"/>
    <w:rsid w:val="008E48AD"/>
    <w:rsid w:val="008E5C4F"/>
    <w:rsid w:val="008E6130"/>
    <w:rsid w:val="008E6AFC"/>
    <w:rsid w:val="008F1B78"/>
    <w:rsid w:val="008F1DD0"/>
    <w:rsid w:val="008F2BFE"/>
    <w:rsid w:val="008F2CBD"/>
    <w:rsid w:val="008F31D3"/>
    <w:rsid w:val="008F3B60"/>
    <w:rsid w:val="008F41B0"/>
    <w:rsid w:val="008F7C80"/>
    <w:rsid w:val="00900E66"/>
    <w:rsid w:val="009012B1"/>
    <w:rsid w:val="009030DB"/>
    <w:rsid w:val="0090319B"/>
    <w:rsid w:val="00903577"/>
    <w:rsid w:val="00903D1F"/>
    <w:rsid w:val="00903D61"/>
    <w:rsid w:val="009045B1"/>
    <w:rsid w:val="009047C3"/>
    <w:rsid w:val="00904C96"/>
    <w:rsid w:val="00906923"/>
    <w:rsid w:val="00906EFD"/>
    <w:rsid w:val="0090708A"/>
    <w:rsid w:val="0091049C"/>
    <w:rsid w:val="009108FE"/>
    <w:rsid w:val="00910BFC"/>
    <w:rsid w:val="009116B7"/>
    <w:rsid w:val="00911A3E"/>
    <w:rsid w:val="00911BA4"/>
    <w:rsid w:val="009124C5"/>
    <w:rsid w:val="00912B6E"/>
    <w:rsid w:val="0091496F"/>
    <w:rsid w:val="00915596"/>
    <w:rsid w:val="0091568B"/>
    <w:rsid w:val="00916199"/>
    <w:rsid w:val="009168E7"/>
    <w:rsid w:val="0091779F"/>
    <w:rsid w:val="00920E01"/>
    <w:rsid w:val="00921C06"/>
    <w:rsid w:val="00921CC8"/>
    <w:rsid w:val="00921D2B"/>
    <w:rsid w:val="00921F3B"/>
    <w:rsid w:val="00923631"/>
    <w:rsid w:val="00924850"/>
    <w:rsid w:val="00924C1F"/>
    <w:rsid w:val="009261C7"/>
    <w:rsid w:val="009262EE"/>
    <w:rsid w:val="009265C8"/>
    <w:rsid w:val="00926BA4"/>
    <w:rsid w:val="009271AA"/>
    <w:rsid w:val="0092771A"/>
    <w:rsid w:val="00927820"/>
    <w:rsid w:val="00927B9B"/>
    <w:rsid w:val="0093048F"/>
    <w:rsid w:val="009308A9"/>
    <w:rsid w:val="00931DDB"/>
    <w:rsid w:val="00932B6C"/>
    <w:rsid w:val="00933178"/>
    <w:rsid w:val="0093331E"/>
    <w:rsid w:val="009348E9"/>
    <w:rsid w:val="00934AAE"/>
    <w:rsid w:val="00935933"/>
    <w:rsid w:val="00936738"/>
    <w:rsid w:val="00937E10"/>
    <w:rsid w:val="009408CF"/>
    <w:rsid w:val="00940F06"/>
    <w:rsid w:val="00941156"/>
    <w:rsid w:val="009425A3"/>
    <w:rsid w:val="009437A4"/>
    <w:rsid w:val="0094416C"/>
    <w:rsid w:val="009444CD"/>
    <w:rsid w:val="009446DB"/>
    <w:rsid w:val="009448E6"/>
    <w:rsid w:val="00944905"/>
    <w:rsid w:val="0094549E"/>
    <w:rsid w:val="0094616B"/>
    <w:rsid w:val="009466CB"/>
    <w:rsid w:val="00946959"/>
    <w:rsid w:val="009475C0"/>
    <w:rsid w:val="009500CE"/>
    <w:rsid w:val="00950B50"/>
    <w:rsid w:val="00950FD0"/>
    <w:rsid w:val="009511C0"/>
    <w:rsid w:val="0095121E"/>
    <w:rsid w:val="0095140F"/>
    <w:rsid w:val="0095215A"/>
    <w:rsid w:val="00952211"/>
    <w:rsid w:val="009525B1"/>
    <w:rsid w:val="00952806"/>
    <w:rsid w:val="0095317B"/>
    <w:rsid w:val="00955361"/>
    <w:rsid w:val="00955465"/>
    <w:rsid w:val="00955717"/>
    <w:rsid w:val="00956F4F"/>
    <w:rsid w:val="009574FF"/>
    <w:rsid w:val="00960F38"/>
    <w:rsid w:val="009610DD"/>
    <w:rsid w:val="00961A2C"/>
    <w:rsid w:val="00962934"/>
    <w:rsid w:val="00963E3F"/>
    <w:rsid w:val="0096504B"/>
    <w:rsid w:val="009653E2"/>
    <w:rsid w:val="00965B5D"/>
    <w:rsid w:val="0096770F"/>
    <w:rsid w:val="009715EA"/>
    <w:rsid w:val="0097173C"/>
    <w:rsid w:val="0097241F"/>
    <w:rsid w:val="00972EA4"/>
    <w:rsid w:val="0097320E"/>
    <w:rsid w:val="009740B3"/>
    <w:rsid w:val="00974D7E"/>
    <w:rsid w:val="009754BC"/>
    <w:rsid w:val="00975AA8"/>
    <w:rsid w:val="00975CB4"/>
    <w:rsid w:val="00975F95"/>
    <w:rsid w:val="00976323"/>
    <w:rsid w:val="00976F5A"/>
    <w:rsid w:val="00977B2E"/>
    <w:rsid w:val="00977FDF"/>
    <w:rsid w:val="00981408"/>
    <w:rsid w:val="00982057"/>
    <w:rsid w:val="0098216E"/>
    <w:rsid w:val="009826C3"/>
    <w:rsid w:val="009836FA"/>
    <w:rsid w:val="00983C94"/>
    <w:rsid w:val="00983CE5"/>
    <w:rsid w:val="00984C1F"/>
    <w:rsid w:val="0098562F"/>
    <w:rsid w:val="00985A80"/>
    <w:rsid w:val="00985CEC"/>
    <w:rsid w:val="00986455"/>
    <w:rsid w:val="009879A5"/>
    <w:rsid w:val="00987BC3"/>
    <w:rsid w:val="00987CB6"/>
    <w:rsid w:val="00991D56"/>
    <w:rsid w:val="00992C98"/>
    <w:rsid w:val="0099564C"/>
    <w:rsid w:val="009958B7"/>
    <w:rsid w:val="00996657"/>
    <w:rsid w:val="009975F9"/>
    <w:rsid w:val="009A1F46"/>
    <w:rsid w:val="009A2331"/>
    <w:rsid w:val="009A287C"/>
    <w:rsid w:val="009A2AE8"/>
    <w:rsid w:val="009A3C48"/>
    <w:rsid w:val="009A42F4"/>
    <w:rsid w:val="009A4976"/>
    <w:rsid w:val="009A4B04"/>
    <w:rsid w:val="009A6ACA"/>
    <w:rsid w:val="009A73ED"/>
    <w:rsid w:val="009A7523"/>
    <w:rsid w:val="009B0639"/>
    <w:rsid w:val="009B0C59"/>
    <w:rsid w:val="009B2800"/>
    <w:rsid w:val="009B332D"/>
    <w:rsid w:val="009B3BA9"/>
    <w:rsid w:val="009B4A1A"/>
    <w:rsid w:val="009B510A"/>
    <w:rsid w:val="009B58CE"/>
    <w:rsid w:val="009B6158"/>
    <w:rsid w:val="009B6AC4"/>
    <w:rsid w:val="009B70F1"/>
    <w:rsid w:val="009B7131"/>
    <w:rsid w:val="009C0216"/>
    <w:rsid w:val="009C0E8E"/>
    <w:rsid w:val="009C1654"/>
    <w:rsid w:val="009C1B10"/>
    <w:rsid w:val="009C429D"/>
    <w:rsid w:val="009C45B2"/>
    <w:rsid w:val="009C5B7C"/>
    <w:rsid w:val="009C5DD0"/>
    <w:rsid w:val="009C6757"/>
    <w:rsid w:val="009C7314"/>
    <w:rsid w:val="009C772C"/>
    <w:rsid w:val="009C799B"/>
    <w:rsid w:val="009D0018"/>
    <w:rsid w:val="009D0222"/>
    <w:rsid w:val="009D06A7"/>
    <w:rsid w:val="009D15C2"/>
    <w:rsid w:val="009D1E58"/>
    <w:rsid w:val="009D1EE1"/>
    <w:rsid w:val="009D32EC"/>
    <w:rsid w:val="009D4CF6"/>
    <w:rsid w:val="009D5707"/>
    <w:rsid w:val="009D5FF5"/>
    <w:rsid w:val="009D65B1"/>
    <w:rsid w:val="009E04ED"/>
    <w:rsid w:val="009E1815"/>
    <w:rsid w:val="009E24E3"/>
    <w:rsid w:val="009E47C8"/>
    <w:rsid w:val="009E4BD8"/>
    <w:rsid w:val="009E5CD1"/>
    <w:rsid w:val="009E672E"/>
    <w:rsid w:val="009E76DA"/>
    <w:rsid w:val="009F0502"/>
    <w:rsid w:val="009F0CA8"/>
    <w:rsid w:val="009F143A"/>
    <w:rsid w:val="009F209D"/>
    <w:rsid w:val="009F23C0"/>
    <w:rsid w:val="009F24E5"/>
    <w:rsid w:val="009F4B65"/>
    <w:rsid w:val="009F548C"/>
    <w:rsid w:val="009F59C7"/>
    <w:rsid w:val="009F5BC7"/>
    <w:rsid w:val="009F6D7A"/>
    <w:rsid w:val="009F75B6"/>
    <w:rsid w:val="009F763D"/>
    <w:rsid w:val="009F7AFA"/>
    <w:rsid w:val="009F7E62"/>
    <w:rsid w:val="00A001B5"/>
    <w:rsid w:val="00A01202"/>
    <w:rsid w:val="00A0161B"/>
    <w:rsid w:val="00A024E7"/>
    <w:rsid w:val="00A0257C"/>
    <w:rsid w:val="00A0265B"/>
    <w:rsid w:val="00A0272C"/>
    <w:rsid w:val="00A03A5E"/>
    <w:rsid w:val="00A03C9A"/>
    <w:rsid w:val="00A04A8F"/>
    <w:rsid w:val="00A052D9"/>
    <w:rsid w:val="00A05D58"/>
    <w:rsid w:val="00A06622"/>
    <w:rsid w:val="00A06E4D"/>
    <w:rsid w:val="00A07E9C"/>
    <w:rsid w:val="00A103F0"/>
    <w:rsid w:val="00A105DF"/>
    <w:rsid w:val="00A10ABD"/>
    <w:rsid w:val="00A11585"/>
    <w:rsid w:val="00A129E3"/>
    <w:rsid w:val="00A1390A"/>
    <w:rsid w:val="00A157E2"/>
    <w:rsid w:val="00A16691"/>
    <w:rsid w:val="00A16980"/>
    <w:rsid w:val="00A16D38"/>
    <w:rsid w:val="00A16EF2"/>
    <w:rsid w:val="00A16F30"/>
    <w:rsid w:val="00A204C0"/>
    <w:rsid w:val="00A212E4"/>
    <w:rsid w:val="00A21BB8"/>
    <w:rsid w:val="00A222F1"/>
    <w:rsid w:val="00A227B1"/>
    <w:rsid w:val="00A2282D"/>
    <w:rsid w:val="00A230E9"/>
    <w:rsid w:val="00A2327A"/>
    <w:rsid w:val="00A23656"/>
    <w:rsid w:val="00A237EB"/>
    <w:rsid w:val="00A239B9"/>
    <w:rsid w:val="00A23FA5"/>
    <w:rsid w:val="00A24546"/>
    <w:rsid w:val="00A25224"/>
    <w:rsid w:val="00A25267"/>
    <w:rsid w:val="00A2545C"/>
    <w:rsid w:val="00A25795"/>
    <w:rsid w:val="00A25A83"/>
    <w:rsid w:val="00A26449"/>
    <w:rsid w:val="00A26928"/>
    <w:rsid w:val="00A26DF9"/>
    <w:rsid w:val="00A31485"/>
    <w:rsid w:val="00A3213F"/>
    <w:rsid w:val="00A33481"/>
    <w:rsid w:val="00A335FD"/>
    <w:rsid w:val="00A34586"/>
    <w:rsid w:val="00A34839"/>
    <w:rsid w:val="00A356BE"/>
    <w:rsid w:val="00A36240"/>
    <w:rsid w:val="00A36671"/>
    <w:rsid w:val="00A36E63"/>
    <w:rsid w:val="00A36EAC"/>
    <w:rsid w:val="00A37E53"/>
    <w:rsid w:val="00A403F8"/>
    <w:rsid w:val="00A4089D"/>
    <w:rsid w:val="00A40C8B"/>
    <w:rsid w:val="00A41079"/>
    <w:rsid w:val="00A41D84"/>
    <w:rsid w:val="00A42351"/>
    <w:rsid w:val="00A42E10"/>
    <w:rsid w:val="00A433C2"/>
    <w:rsid w:val="00A43603"/>
    <w:rsid w:val="00A4364B"/>
    <w:rsid w:val="00A43AC0"/>
    <w:rsid w:val="00A43F5C"/>
    <w:rsid w:val="00A4561E"/>
    <w:rsid w:val="00A456EA"/>
    <w:rsid w:val="00A4618D"/>
    <w:rsid w:val="00A466E3"/>
    <w:rsid w:val="00A470FC"/>
    <w:rsid w:val="00A47310"/>
    <w:rsid w:val="00A47FC7"/>
    <w:rsid w:val="00A50BDA"/>
    <w:rsid w:val="00A5160A"/>
    <w:rsid w:val="00A516B2"/>
    <w:rsid w:val="00A51804"/>
    <w:rsid w:val="00A51C19"/>
    <w:rsid w:val="00A52589"/>
    <w:rsid w:val="00A548BE"/>
    <w:rsid w:val="00A55610"/>
    <w:rsid w:val="00A556DE"/>
    <w:rsid w:val="00A5716C"/>
    <w:rsid w:val="00A57822"/>
    <w:rsid w:val="00A61234"/>
    <w:rsid w:val="00A61B22"/>
    <w:rsid w:val="00A61F33"/>
    <w:rsid w:val="00A6381C"/>
    <w:rsid w:val="00A63BD7"/>
    <w:rsid w:val="00A64339"/>
    <w:rsid w:val="00A6454D"/>
    <w:rsid w:val="00A6467D"/>
    <w:rsid w:val="00A6633D"/>
    <w:rsid w:val="00A6785F"/>
    <w:rsid w:val="00A703A9"/>
    <w:rsid w:val="00A71396"/>
    <w:rsid w:val="00A71536"/>
    <w:rsid w:val="00A71810"/>
    <w:rsid w:val="00A73088"/>
    <w:rsid w:val="00A74577"/>
    <w:rsid w:val="00A74A5A"/>
    <w:rsid w:val="00A7519B"/>
    <w:rsid w:val="00A75296"/>
    <w:rsid w:val="00A76A68"/>
    <w:rsid w:val="00A76AE7"/>
    <w:rsid w:val="00A774DB"/>
    <w:rsid w:val="00A77591"/>
    <w:rsid w:val="00A77DA6"/>
    <w:rsid w:val="00A80710"/>
    <w:rsid w:val="00A81C4F"/>
    <w:rsid w:val="00A82213"/>
    <w:rsid w:val="00A82628"/>
    <w:rsid w:val="00A83268"/>
    <w:rsid w:val="00A83B57"/>
    <w:rsid w:val="00A842FE"/>
    <w:rsid w:val="00A84365"/>
    <w:rsid w:val="00A84715"/>
    <w:rsid w:val="00A850D8"/>
    <w:rsid w:val="00A872A7"/>
    <w:rsid w:val="00A87606"/>
    <w:rsid w:val="00A87A7C"/>
    <w:rsid w:val="00A90352"/>
    <w:rsid w:val="00A91117"/>
    <w:rsid w:val="00A92623"/>
    <w:rsid w:val="00A9288B"/>
    <w:rsid w:val="00A946FD"/>
    <w:rsid w:val="00A9470E"/>
    <w:rsid w:val="00A95023"/>
    <w:rsid w:val="00A95480"/>
    <w:rsid w:val="00A954A7"/>
    <w:rsid w:val="00A965B3"/>
    <w:rsid w:val="00A965B9"/>
    <w:rsid w:val="00A97A3E"/>
    <w:rsid w:val="00A97E8D"/>
    <w:rsid w:val="00A97F53"/>
    <w:rsid w:val="00AA0FF6"/>
    <w:rsid w:val="00AA192F"/>
    <w:rsid w:val="00AA1FB4"/>
    <w:rsid w:val="00AA3EA4"/>
    <w:rsid w:val="00AA4039"/>
    <w:rsid w:val="00AA4204"/>
    <w:rsid w:val="00AA4E67"/>
    <w:rsid w:val="00AA55D1"/>
    <w:rsid w:val="00AA55F0"/>
    <w:rsid w:val="00AA750D"/>
    <w:rsid w:val="00AA7B8F"/>
    <w:rsid w:val="00AA7EA5"/>
    <w:rsid w:val="00AB031A"/>
    <w:rsid w:val="00AB0460"/>
    <w:rsid w:val="00AB3E72"/>
    <w:rsid w:val="00AB51D4"/>
    <w:rsid w:val="00AB5297"/>
    <w:rsid w:val="00AB52B5"/>
    <w:rsid w:val="00AB595C"/>
    <w:rsid w:val="00AB6349"/>
    <w:rsid w:val="00AB64D4"/>
    <w:rsid w:val="00AC0461"/>
    <w:rsid w:val="00AC0DFC"/>
    <w:rsid w:val="00AC15E4"/>
    <w:rsid w:val="00AC185A"/>
    <w:rsid w:val="00AC1D59"/>
    <w:rsid w:val="00AC26A0"/>
    <w:rsid w:val="00AC27B8"/>
    <w:rsid w:val="00AC28B4"/>
    <w:rsid w:val="00AC36CD"/>
    <w:rsid w:val="00AC3AD8"/>
    <w:rsid w:val="00AC41ED"/>
    <w:rsid w:val="00AC5B97"/>
    <w:rsid w:val="00AC5BFB"/>
    <w:rsid w:val="00AC5E5D"/>
    <w:rsid w:val="00AC6762"/>
    <w:rsid w:val="00AC799C"/>
    <w:rsid w:val="00AC7C87"/>
    <w:rsid w:val="00AD0014"/>
    <w:rsid w:val="00AD05B1"/>
    <w:rsid w:val="00AD0812"/>
    <w:rsid w:val="00AD1173"/>
    <w:rsid w:val="00AD18B7"/>
    <w:rsid w:val="00AD226A"/>
    <w:rsid w:val="00AD385C"/>
    <w:rsid w:val="00AD38BB"/>
    <w:rsid w:val="00AD5EEF"/>
    <w:rsid w:val="00AD69F3"/>
    <w:rsid w:val="00AD788E"/>
    <w:rsid w:val="00AE230E"/>
    <w:rsid w:val="00AE32F3"/>
    <w:rsid w:val="00AE3348"/>
    <w:rsid w:val="00AE3992"/>
    <w:rsid w:val="00AE3E38"/>
    <w:rsid w:val="00AE46D3"/>
    <w:rsid w:val="00AE4811"/>
    <w:rsid w:val="00AE513D"/>
    <w:rsid w:val="00AE5C13"/>
    <w:rsid w:val="00AE7272"/>
    <w:rsid w:val="00AE7F0F"/>
    <w:rsid w:val="00AF11AF"/>
    <w:rsid w:val="00AF27B7"/>
    <w:rsid w:val="00AF2BE0"/>
    <w:rsid w:val="00AF2CEF"/>
    <w:rsid w:val="00AF3E58"/>
    <w:rsid w:val="00AF4727"/>
    <w:rsid w:val="00AF4769"/>
    <w:rsid w:val="00AF4E4D"/>
    <w:rsid w:val="00AF5CAD"/>
    <w:rsid w:val="00AF6E20"/>
    <w:rsid w:val="00AF715A"/>
    <w:rsid w:val="00AF7281"/>
    <w:rsid w:val="00AF742C"/>
    <w:rsid w:val="00AF7FBC"/>
    <w:rsid w:val="00B01FB9"/>
    <w:rsid w:val="00B02507"/>
    <w:rsid w:val="00B03D47"/>
    <w:rsid w:val="00B03FEA"/>
    <w:rsid w:val="00B04B3C"/>
    <w:rsid w:val="00B05C02"/>
    <w:rsid w:val="00B06022"/>
    <w:rsid w:val="00B063E3"/>
    <w:rsid w:val="00B070E6"/>
    <w:rsid w:val="00B07436"/>
    <w:rsid w:val="00B07E4F"/>
    <w:rsid w:val="00B07F57"/>
    <w:rsid w:val="00B1044D"/>
    <w:rsid w:val="00B1079B"/>
    <w:rsid w:val="00B10802"/>
    <w:rsid w:val="00B1104C"/>
    <w:rsid w:val="00B111C7"/>
    <w:rsid w:val="00B1321F"/>
    <w:rsid w:val="00B13F1F"/>
    <w:rsid w:val="00B147A2"/>
    <w:rsid w:val="00B15005"/>
    <w:rsid w:val="00B16F75"/>
    <w:rsid w:val="00B17F4A"/>
    <w:rsid w:val="00B21DCF"/>
    <w:rsid w:val="00B21F93"/>
    <w:rsid w:val="00B22E07"/>
    <w:rsid w:val="00B243F1"/>
    <w:rsid w:val="00B2511F"/>
    <w:rsid w:val="00B254B4"/>
    <w:rsid w:val="00B257AE"/>
    <w:rsid w:val="00B27D34"/>
    <w:rsid w:val="00B27FA6"/>
    <w:rsid w:val="00B30012"/>
    <w:rsid w:val="00B30ED8"/>
    <w:rsid w:val="00B316D9"/>
    <w:rsid w:val="00B31A52"/>
    <w:rsid w:val="00B31C9C"/>
    <w:rsid w:val="00B32E47"/>
    <w:rsid w:val="00B33BE6"/>
    <w:rsid w:val="00B33FF4"/>
    <w:rsid w:val="00B34242"/>
    <w:rsid w:val="00B344AF"/>
    <w:rsid w:val="00B34522"/>
    <w:rsid w:val="00B34534"/>
    <w:rsid w:val="00B364B6"/>
    <w:rsid w:val="00B37F34"/>
    <w:rsid w:val="00B4013A"/>
    <w:rsid w:val="00B4041F"/>
    <w:rsid w:val="00B4135D"/>
    <w:rsid w:val="00B41F6F"/>
    <w:rsid w:val="00B42E03"/>
    <w:rsid w:val="00B430B9"/>
    <w:rsid w:val="00B43185"/>
    <w:rsid w:val="00B43A7F"/>
    <w:rsid w:val="00B44023"/>
    <w:rsid w:val="00B440C4"/>
    <w:rsid w:val="00B443A2"/>
    <w:rsid w:val="00B44D33"/>
    <w:rsid w:val="00B44DC5"/>
    <w:rsid w:val="00B44DC9"/>
    <w:rsid w:val="00B45D2A"/>
    <w:rsid w:val="00B46505"/>
    <w:rsid w:val="00B46A92"/>
    <w:rsid w:val="00B47691"/>
    <w:rsid w:val="00B533AF"/>
    <w:rsid w:val="00B5430E"/>
    <w:rsid w:val="00B562FB"/>
    <w:rsid w:val="00B60683"/>
    <w:rsid w:val="00B6078A"/>
    <w:rsid w:val="00B61226"/>
    <w:rsid w:val="00B6187C"/>
    <w:rsid w:val="00B61A7A"/>
    <w:rsid w:val="00B62EBB"/>
    <w:rsid w:val="00B62ED9"/>
    <w:rsid w:val="00B63237"/>
    <w:rsid w:val="00B65488"/>
    <w:rsid w:val="00B66AB7"/>
    <w:rsid w:val="00B670C8"/>
    <w:rsid w:val="00B67277"/>
    <w:rsid w:val="00B70006"/>
    <w:rsid w:val="00B7089C"/>
    <w:rsid w:val="00B708F2"/>
    <w:rsid w:val="00B70AF6"/>
    <w:rsid w:val="00B71FBB"/>
    <w:rsid w:val="00B741CB"/>
    <w:rsid w:val="00B74C5D"/>
    <w:rsid w:val="00B752A0"/>
    <w:rsid w:val="00B755F2"/>
    <w:rsid w:val="00B75BAA"/>
    <w:rsid w:val="00B7730D"/>
    <w:rsid w:val="00B816C2"/>
    <w:rsid w:val="00B83780"/>
    <w:rsid w:val="00B83873"/>
    <w:rsid w:val="00B83C4B"/>
    <w:rsid w:val="00B84B63"/>
    <w:rsid w:val="00B85997"/>
    <w:rsid w:val="00B86FEE"/>
    <w:rsid w:val="00B87E62"/>
    <w:rsid w:val="00B903DA"/>
    <w:rsid w:val="00B91A34"/>
    <w:rsid w:val="00B91BAB"/>
    <w:rsid w:val="00B92F8C"/>
    <w:rsid w:val="00B930C0"/>
    <w:rsid w:val="00B934C6"/>
    <w:rsid w:val="00B94062"/>
    <w:rsid w:val="00B956A3"/>
    <w:rsid w:val="00B95B9F"/>
    <w:rsid w:val="00B9605A"/>
    <w:rsid w:val="00B960A4"/>
    <w:rsid w:val="00B96998"/>
    <w:rsid w:val="00BA0533"/>
    <w:rsid w:val="00BA05FC"/>
    <w:rsid w:val="00BA15B9"/>
    <w:rsid w:val="00BA254D"/>
    <w:rsid w:val="00BA2E18"/>
    <w:rsid w:val="00BA4495"/>
    <w:rsid w:val="00BA4BB2"/>
    <w:rsid w:val="00BA5302"/>
    <w:rsid w:val="00BA6D60"/>
    <w:rsid w:val="00BA79BA"/>
    <w:rsid w:val="00BA7B3F"/>
    <w:rsid w:val="00BA7E57"/>
    <w:rsid w:val="00BB3091"/>
    <w:rsid w:val="00BB3FD9"/>
    <w:rsid w:val="00BB445F"/>
    <w:rsid w:val="00BB483D"/>
    <w:rsid w:val="00BB497E"/>
    <w:rsid w:val="00BB5E9C"/>
    <w:rsid w:val="00BB5F93"/>
    <w:rsid w:val="00BB70AA"/>
    <w:rsid w:val="00BB73D0"/>
    <w:rsid w:val="00BB7EB0"/>
    <w:rsid w:val="00BC0092"/>
    <w:rsid w:val="00BC0672"/>
    <w:rsid w:val="00BC0E2F"/>
    <w:rsid w:val="00BC1C8A"/>
    <w:rsid w:val="00BC232B"/>
    <w:rsid w:val="00BC27EF"/>
    <w:rsid w:val="00BC28D7"/>
    <w:rsid w:val="00BC4624"/>
    <w:rsid w:val="00BC5929"/>
    <w:rsid w:val="00BC6194"/>
    <w:rsid w:val="00BD09E3"/>
    <w:rsid w:val="00BD12F3"/>
    <w:rsid w:val="00BD142F"/>
    <w:rsid w:val="00BD1A8C"/>
    <w:rsid w:val="00BD2AD6"/>
    <w:rsid w:val="00BD33DC"/>
    <w:rsid w:val="00BD4E02"/>
    <w:rsid w:val="00BD520A"/>
    <w:rsid w:val="00BD552B"/>
    <w:rsid w:val="00BD5894"/>
    <w:rsid w:val="00BD5A23"/>
    <w:rsid w:val="00BD7231"/>
    <w:rsid w:val="00BD72A8"/>
    <w:rsid w:val="00BD7C4F"/>
    <w:rsid w:val="00BD7D3B"/>
    <w:rsid w:val="00BE17CE"/>
    <w:rsid w:val="00BE2EE1"/>
    <w:rsid w:val="00BE3BB2"/>
    <w:rsid w:val="00BE3C60"/>
    <w:rsid w:val="00BE3EB1"/>
    <w:rsid w:val="00BE40B2"/>
    <w:rsid w:val="00BE40B3"/>
    <w:rsid w:val="00BE423B"/>
    <w:rsid w:val="00BE46D0"/>
    <w:rsid w:val="00BE5E45"/>
    <w:rsid w:val="00BE7ECC"/>
    <w:rsid w:val="00BF074F"/>
    <w:rsid w:val="00BF258A"/>
    <w:rsid w:val="00BF2AA9"/>
    <w:rsid w:val="00BF2DE3"/>
    <w:rsid w:val="00BF333B"/>
    <w:rsid w:val="00BF35AD"/>
    <w:rsid w:val="00BF4B7B"/>
    <w:rsid w:val="00BF59A9"/>
    <w:rsid w:val="00BF5B46"/>
    <w:rsid w:val="00BF6C95"/>
    <w:rsid w:val="00BF7487"/>
    <w:rsid w:val="00BF7D58"/>
    <w:rsid w:val="00C0024E"/>
    <w:rsid w:val="00C010FF"/>
    <w:rsid w:val="00C02AE1"/>
    <w:rsid w:val="00C02F97"/>
    <w:rsid w:val="00C03619"/>
    <w:rsid w:val="00C041DF"/>
    <w:rsid w:val="00C044B4"/>
    <w:rsid w:val="00C0483D"/>
    <w:rsid w:val="00C05162"/>
    <w:rsid w:val="00C05249"/>
    <w:rsid w:val="00C057B6"/>
    <w:rsid w:val="00C05B73"/>
    <w:rsid w:val="00C05E79"/>
    <w:rsid w:val="00C07C05"/>
    <w:rsid w:val="00C10671"/>
    <w:rsid w:val="00C1134F"/>
    <w:rsid w:val="00C120DE"/>
    <w:rsid w:val="00C1360F"/>
    <w:rsid w:val="00C136AA"/>
    <w:rsid w:val="00C14E74"/>
    <w:rsid w:val="00C20F9F"/>
    <w:rsid w:val="00C21C2E"/>
    <w:rsid w:val="00C231D1"/>
    <w:rsid w:val="00C23530"/>
    <w:rsid w:val="00C25D0B"/>
    <w:rsid w:val="00C26207"/>
    <w:rsid w:val="00C26B52"/>
    <w:rsid w:val="00C270C4"/>
    <w:rsid w:val="00C27280"/>
    <w:rsid w:val="00C276C5"/>
    <w:rsid w:val="00C27CC4"/>
    <w:rsid w:val="00C30AFE"/>
    <w:rsid w:val="00C31005"/>
    <w:rsid w:val="00C31C61"/>
    <w:rsid w:val="00C31FCE"/>
    <w:rsid w:val="00C33E2F"/>
    <w:rsid w:val="00C343C8"/>
    <w:rsid w:val="00C34E2D"/>
    <w:rsid w:val="00C35ACE"/>
    <w:rsid w:val="00C35FD1"/>
    <w:rsid w:val="00C36136"/>
    <w:rsid w:val="00C36803"/>
    <w:rsid w:val="00C401BF"/>
    <w:rsid w:val="00C40986"/>
    <w:rsid w:val="00C418C9"/>
    <w:rsid w:val="00C424C5"/>
    <w:rsid w:val="00C42C6E"/>
    <w:rsid w:val="00C436A9"/>
    <w:rsid w:val="00C438F0"/>
    <w:rsid w:val="00C43FAA"/>
    <w:rsid w:val="00C441FC"/>
    <w:rsid w:val="00C444B7"/>
    <w:rsid w:val="00C44652"/>
    <w:rsid w:val="00C4498E"/>
    <w:rsid w:val="00C44E9E"/>
    <w:rsid w:val="00C45237"/>
    <w:rsid w:val="00C457B2"/>
    <w:rsid w:val="00C45999"/>
    <w:rsid w:val="00C45EBD"/>
    <w:rsid w:val="00C47AE4"/>
    <w:rsid w:val="00C47B4F"/>
    <w:rsid w:val="00C516D7"/>
    <w:rsid w:val="00C51C16"/>
    <w:rsid w:val="00C5232B"/>
    <w:rsid w:val="00C52B17"/>
    <w:rsid w:val="00C534DF"/>
    <w:rsid w:val="00C5469A"/>
    <w:rsid w:val="00C552F5"/>
    <w:rsid w:val="00C55F2A"/>
    <w:rsid w:val="00C56659"/>
    <w:rsid w:val="00C56D9C"/>
    <w:rsid w:val="00C56EBE"/>
    <w:rsid w:val="00C57E21"/>
    <w:rsid w:val="00C6042C"/>
    <w:rsid w:val="00C60AEC"/>
    <w:rsid w:val="00C60C3F"/>
    <w:rsid w:val="00C612DD"/>
    <w:rsid w:val="00C627D9"/>
    <w:rsid w:val="00C635A6"/>
    <w:rsid w:val="00C63B39"/>
    <w:rsid w:val="00C63E98"/>
    <w:rsid w:val="00C64C82"/>
    <w:rsid w:val="00C6605A"/>
    <w:rsid w:val="00C7034D"/>
    <w:rsid w:val="00C7183A"/>
    <w:rsid w:val="00C71A62"/>
    <w:rsid w:val="00C7255C"/>
    <w:rsid w:val="00C75962"/>
    <w:rsid w:val="00C76F1B"/>
    <w:rsid w:val="00C77407"/>
    <w:rsid w:val="00C77E89"/>
    <w:rsid w:val="00C80D1F"/>
    <w:rsid w:val="00C81CA5"/>
    <w:rsid w:val="00C81EB8"/>
    <w:rsid w:val="00C83459"/>
    <w:rsid w:val="00C83782"/>
    <w:rsid w:val="00C841BB"/>
    <w:rsid w:val="00C8545C"/>
    <w:rsid w:val="00C92157"/>
    <w:rsid w:val="00C928E8"/>
    <w:rsid w:val="00C936EE"/>
    <w:rsid w:val="00C93A1D"/>
    <w:rsid w:val="00C93BFD"/>
    <w:rsid w:val="00C93D71"/>
    <w:rsid w:val="00C93FC0"/>
    <w:rsid w:val="00C940F7"/>
    <w:rsid w:val="00C946CA"/>
    <w:rsid w:val="00C946F8"/>
    <w:rsid w:val="00C94711"/>
    <w:rsid w:val="00C94A2B"/>
    <w:rsid w:val="00C952E1"/>
    <w:rsid w:val="00C95CF3"/>
    <w:rsid w:val="00C960B8"/>
    <w:rsid w:val="00C96F81"/>
    <w:rsid w:val="00C96FF1"/>
    <w:rsid w:val="00CA03AF"/>
    <w:rsid w:val="00CA03FD"/>
    <w:rsid w:val="00CA05D7"/>
    <w:rsid w:val="00CA0EB3"/>
    <w:rsid w:val="00CA3750"/>
    <w:rsid w:val="00CA391E"/>
    <w:rsid w:val="00CA3B66"/>
    <w:rsid w:val="00CA4C71"/>
    <w:rsid w:val="00CA4FD0"/>
    <w:rsid w:val="00CA523F"/>
    <w:rsid w:val="00CA621E"/>
    <w:rsid w:val="00CA6CDE"/>
    <w:rsid w:val="00CA73B6"/>
    <w:rsid w:val="00CA76DE"/>
    <w:rsid w:val="00CA7777"/>
    <w:rsid w:val="00CA78CC"/>
    <w:rsid w:val="00CB0742"/>
    <w:rsid w:val="00CB09EF"/>
    <w:rsid w:val="00CB0F6E"/>
    <w:rsid w:val="00CB142E"/>
    <w:rsid w:val="00CB17AE"/>
    <w:rsid w:val="00CB1C59"/>
    <w:rsid w:val="00CB315E"/>
    <w:rsid w:val="00CB348F"/>
    <w:rsid w:val="00CB35B5"/>
    <w:rsid w:val="00CB3675"/>
    <w:rsid w:val="00CB49E5"/>
    <w:rsid w:val="00CB5855"/>
    <w:rsid w:val="00CB5A9C"/>
    <w:rsid w:val="00CB7E33"/>
    <w:rsid w:val="00CC0EDD"/>
    <w:rsid w:val="00CC1453"/>
    <w:rsid w:val="00CC1A12"/>
    <w:rsid w:val="00CC1A9E"/>
    <w:rsid w:val="00CC1D12"/>
    <w:rsid w:val="00CC307C"/>
    <w:rsid w:val="00CC396E"/>
    <w:rsid w:val="00CC3FDF"/>
    <w:rsid w:val="00CC40F7"/>
    <w:rsid w:val="00CC5E70"/>
    <w:rsid w:val="00CC60FD"/>
    <w:rsid w:val="00CC6168"/>
    <w:rsid w:val="00CC6EF9"/>
    <w:rsid w:val="00CD0298"/>
    <w:rsid w:val="00CD057F"/>
    <w:rsid w:val="00CD0FFF"/>
    <w:rsid w:val="00CD1245"/>
    <w:rsid w:val="00CD30D9"/>
    <w:rsid w:val="00CD4FA9"/>
    <w:rsid w:val="00CD53E9"/>
    <w:rsid w:val="00CD57B3"/>
    <w:rsid w:val="00CD642C"/>
    <w:rsid w:val="00CD64F4"/>
    <w:rsid w:val="00CD7261"/>
    <w:rsid w:val="00CD73E4"/>
    <w:rsid w:val="00CD76BC"/>
    <w:rsid w:val="00CD799E"/>
    <w:rsid w:val="00CE0237"/>
    <w:rsid w:val="00CE1582"/>
    <w:rsid w:val="00CE37B0"/>
    <w:rsid w:val="00CE3F5A"/>
    <w:rsid w:val="00CE40BF"/>
    <w:rsid w:val="00CE4286"/>
    <w:rsid w:val="00CE648B"/>
    <w:rsid w:val="00CE64A5"/>
    <w:rsid w:val="00CE7C8F"/>
    <w:rsid w:val="00CE7FF7"/>
    <w:rsid w:val="00CF019D"/>
    <w:rsid w:val="00CF0E24"/>
    <w:rsid w:val="00CF1A61"/>
    <w:rsid w:val="00CF1ECF"/>
    <w:rsid w:val="00CF3123"/>
    <w:rsid w:val="00CF5F52"/>
    <w:rsid w:val="00CF739C"/>
    <w:rsid w:val="00CF7465"/>
    <w:rsid w:val="00CF76CE"/>
    <w:rsid w:val="00D00563"/>
    <w:rsid w:val="00D0165D"/>
    <w:rsid w:val="00D01DBD"/>
    <w:rsid w:val="00D0236E"/>
    <w:rsid w:val="00D02EF3"/>
    <w:rsid w:val="00D03454"/>
    <w:rsid w:val="00D0372D"/>
    <w:rsid w:val="00D04A87"/>
    <w:rsid w:val="00D04B19"/>
    <w:rsid w:val="00D04F3D"/>
    <w:rsid w:val="00D05D3F"/>
    <w:rsid w:val="00D06BA2"/>
    <w:rsid w:val="00D07CA7"/>
    <w:rsid w:val="00D10512"/>
    <w:rsid w:val="00D10846"/>
    <w:rsid w:val="00D10B46"/>
    <w:rsid w:val="00D1128D"/>
    <w:rsid w:val="00D1166B"/>
    <w:rsid w:val="00D1186A"/>
    <w:rsid w:val="00D11C7B"/>
    <w:rsid w:val="00D12B4A"/>
    <w:rsid w:val="00D13EE2"/>
    <w:rsid w:val="00D15822"/>
    <w:rsid w:val="00D16100"/>
    <w:rsid w:val="00D16FC2"/>
    <w:rsid w:val="00D17CF4"/>
    <w:rsid w:val="00D20B34"/>
    <w:rsid w:val="00D217CF"/>
    <w:rsid w:val="00D21E0B"/>
    <w:rsid w:val="00D226A1"/>
    <w:rsid w:val="00D22A9C"/>
    <w:rsid w:val="00D23CAB"/>
    <w:rsid w:val="00D252AA"/>
    <w:rsid w:val="00D26819"/>
    <w:rsid w:val="00D27856"/>
    <w:rsid w:val="00D30C8B"/>
    <w:rsid w:val="00D32959"/>
    <w:rsid w:val="00D338F5"/>
    <w:rsid w:val="00D338F7"/>
    <w:rsid w:val="00D35555"/>
    <w:rsid w:val="00D357BF"/>
    <w:rsid w:val="00D36349"/>
    <w:rsid w:val="00D40CD4"/>
    <w:rsid w:val="00D424D2"/>
    <w:rsid w:val="00D42C33"/>
    <w:rsid w:val="00D4369F"/>
    <w:rsid w:val="00D437CA"/>
    <w:rsid w:val="00D43D98"/>
    <w:rsid w:val="00D462DD"/>
    <w:rsid w:val="00D4718D"/>
    <w:rsid w:val="00D47F3B"/>
    <w:rsid w:val="00D508F1"/>
    <w:rsid w:val="00D5274C"/>
    <w:rsid w:val="00D527BF"/>
    <w:rsid w:val="00D52917"/>
    <w:rsid w:val="00D53058"/>
    <w:rsid w:val="00D5365E"/>
    <w:rsid w:val="00D5627A"/>
    <w:rsid w:val="00D564E1"/>
    <w:rsid w:val="00D567E8"/>
    <w:rsid w:val="00D56889"/>
    <w:rsid w:val="00D56A4B"/>
    <w:rsid w:val="00D57B0A"/>
    <w:rsid w:val="00D57FA5"/>
    <w:rsid w:val="00D61BC5"/>
    <w:rsid w:val="00D62149"/>
    <w:rsid w:val="00D621D3"/>
    <w:rsid w:val="00D62D56"/>
    <w:rsid w:val="00D633CF"/>
    <w:rsid w:val="00D63DD3"/>
    <w:rsid w:val="00D64229"/>
    <w:rsid w:val="00D64731"/>
    <w:rsid w:val="00D657C0"/>
    <w:rsid w:val="00D66548"/>
    <w:rsid w:val="00D66706"/>
    <w:rsid w:val="00D6689C"/>
    <w:rsid w:val="00D70096"/>
    <w:rsid w:val="00D71AE3"/>
    <w:rsid w:val="00D71E44"/>
    <w:rsid w:val="00D72150"/>
    <w:rsid w:val="00D72FBE"/>
    <w:rsid w:val="00D73539"/>
    <w:rsid w:val="00D74704"/>
    <w:rsid w:val="00D74F98"/>
    <w:rsid w:val="00D75207"/>
    <w:rsid w:val="00D7627A"/>
    <w:rsid w:val="00D762C7"/>
    <w:rsid w:val="00D76BDF"/>
    <w:rsid w:val="00D76E14"/>
    <w:rsid w:val="00D76E8F"/>
    <w:rsid w:val="00D7799E"/>
    <w:rsid w:val="00D8125E"/>
    <w:rsid w:val="00D8280D"/>
    <w:rsid w:val="00D82E25"/>
    <w:rsid w:val="00D838FC"/>
    <w:rsid w:val="00D84FD6"/>
    <w:rsid w:val="00D8586C"/>
    <w:rsid w:val="00D85BD6"/>
    <w:rsid w:val="00D90D0C"/>
    <w:rsid w:val="00D90E88"/>
    <w:rsid w:val="00D9121F"/>
    <w:rsid w:val="00D9154E"/>
    <w:rsid w:val="00D91EF5"/>
    <w:rsid w:val="00D92740"/>
    <w:rsid w:val="00D92A34"/>
    <w:rsid w:val="00D92EFB"/>
    <w:rsid w:val="00D92FD2"/>
    <w:rsid w:val="00D93BE6"/>
    <w:rsid w:val="00D93FD1"/>
    <w:rsid w:val="00D940C3"/>
    <w:rsid w:val="00D94763"/>
    <w:rsid w:val="00D94AAF"/>
    <w:rsid w:val="00D958E6"/>
    <w:rsid w:val="00D96032"/>
    <w:rsid w:val="00D965BE"/>
    <w:rsid w:val="00D9728D"/>
    <w:rsid w:val="00D97B4E"/>
    <w:rsid w:val="00D97BA1"/>
    <w:rsid w:val="00DA0CE2"/>
    <w:rsid w:val="00DA0EE1"/>
    <w:rsid w:val="00DA1D20"/>
    <w:rsid w:val="00DA1FEC"/>
    <w:rsid w:val="00DA23AF"/>
    <w:rsid w:val="00DA2738"/>
    <w:rsid w:val="00DA338B"/>
    <w:rsid w:val="00DA4936"/>
    <w:rsid w:val="00DA4D2C"/>
    <w:rsid w:val="00DA5349"/>
    <w:rsid w:val="00DA60D2"/>
    <w:rsid w:val="00DA68BF"/>
    <w:rsid w:val="00DA72CB"/>
    <w:rsid w:val="00DA7CDE"/>
    <w:rsid w:val="00DB1312"/>
    <w:rsid w:val="00DB1A4D"/>
    <w:rsid w:val="00DB4E5E"/>
    <w:rsid w:val="00DB56B4"/>
    <w:rsid w:val="00DB58D4"/>
    <w:rsid w:val="00DB5A2B"/>
    <w:rsid w:val="00DB5EC0"/>
    <w:rsid w:val="00DB628D"/>
    <w:rsid w:val="00DB663D"/>
    <w:rsid w:val="00DB675F"/>
    <w:rsid w:val="00DB6E17"/>
    <w:rsid w:val="00DB6EE5"/>
    <w:rsid w:val="00DB72FD"/>
    <w:rsid w:val="00DC1413"/>
    <w:rsid w:val="00DC17AA"/>
    <w:rsid w:val="00DC2F7E"/>
    <w:rsid w:val="00DC335C"/>
    <w:rsid w:val="00DC33CE"/>
    <w:rsid w:val="00DC3C64"/>
    <w:rsid w:val="00DC3D6E"/>
    <w:rsid w:val="00DC4122"/>
    <w:rsid w:val="00DC46B1"/>
    <w:rsid w:val="00DC4A7F"/>
    <w:rsid w:val="00DC4CF6"/>
    <w:rsid w:val="00DC4FB8"/>
    <w:rsid w:val="00DC51BC"/>
    <w:rsid w:val="00DC7B6E"/>
    <w:rsid w:val="00DD01E7"/>
    <w:rsid w:val="00DD02AB"/>
    <w:rsid w:val="00DD039E"/>
    <w:rsid w:val="00DD05F2"/>
    <w:rsid w:val="00DD10DD"/>
    <w:rsid w:val="00DD1422"/>
    <w:rsid w:val="00DD1F8C"/>
    <w:rsid w:val="00DD26B9"/>
    <w:rsid w:val="00DD2812"/>
    <w:rsid w:val="00DD31ED"/>
    <w:rsid w:val="00DD4692"/>
    <w:rsid w:val="00DD4EBF"/>
    <w:rsid w:val="00DD5220"/>
    <w:rsid w:val="00DD55A8"/>
    <w:rsid w:val="00DD5B89"/>
    <w:rsid w:val="00DD67D0"/>
    <w:rsid w:val="00DD6C10"/>
    <w:rsid w:val="00DD6C74"/>
    <w:rsid w:val="00DD6E81"/>
    <w:rsid w:val="00DD7C3E"/>
    <w:rsid w:val="00DE031A"/>
    <w:rsid w:val="00DE093F"/>
    <w:rsid w:val="00DE122A"/>
    <w:rsid w:val="00DE1B7F"/>
    <w:rsid w:val="00DE1F77"/>
    <w:rsid w:val="00DE2304"/>
    <w:rsid w:val="00DE29AF"/>
    <w:rsid w:val="00DE2FD1"/>
    <w:rsid w:val="00DE33D6"/>
    <w:rsid w:val="00DE3586"/>
    <w:rsid w:val="00DE39E5"/>
    <w:rsid w:val="00DE445A"/>
    <w:rsid w:val="00DE588C"/>
    <w:rsid w:val="00DE5B5D"/>
    <w:rsid w:val="00DE77FB"/>
    <w:rsid w:val="00DE7A14"/>
    <w:rsid w:val="00DE7BF7"/>
    <w:rsid w:val="00DF03BE"/>
    <w:rsid w:val="00DF0855"/>
    <w:rsid w:val="00DF10B7"/>
    <w:rsid w:val="00DF177C"/>
    <w:rsid w:val="00DF29E2"/>
    <w:rsid w:val="00DF3391"/>
    <w:rsid w:val="00DF3685"/>
    <w:rsid w:val="00DF3A16"/>
    <w:rsid w:val="00DF4155"/>
    <w:rsid w:val="00DF4A6E"/>
    <w:rsid w:val="00DF5D53"/>
    <w:rsid w:val="00DF5FD3"/>
    <w:rsid w:val="00DF659A"/>
    <w:rsid w:val="00DF73EB"/>
    <w:rsid w:val="00E0016D"/>
    <w:rsid w:val="00E00F38"/>
    <w:rsid w:val="00E011C5"/>
    <w:rsid w:val="00E0171B"/>
    <w:rsid w:val="00E028B5"/>
    <w:rsid w:val="00E02BE4"/>
    <w:rsid w:val="00E0318B"/>
    <w:rsid w:val="00E0318D"/>
    <w:rsid w:val="00E03FF7"/>
    <w:rsid w:val="00E04A51"/>
    <w:rsid w:val="00E063A7"/>
    <w:rsid w:val="00E069CD"/>
    <w:rsid w:val="00E101F7"/>
    <w:rsid w:val="00E10291"/>
    <w:rsid w:val="00E105E8"/>
    <w:rsid w:val="00E10FEA"/>
    <w:rsid w:val="00E11040"/>
    <w:rsid w:val="00E11BC7"/>
    <w:rsid w:val="00E12243"/>
    <w:rsid w:val="00E1261E"/>
    <w:rsid w:val="00E133AE"/>
    <w:rsid w:val="00E13863"/>
    <w:rsid w:val="00E13DB3"/>
    <w:rsid w:val="00E1476C"/>
    <w:rsid w:val="00E14E63"/>
    <w:rsid w:val="00E15F48"/>
    <w:rsid w:val="00E178C7"/>
    <w:rsid w:val="00E178DF"/>
    <w:rsid w:val="00E20775"/>
    <w:rsid w:val="00E21126"/>
    <w:rsid w:val="00E2129B"/>
    <w:rsid w:val="00E2170A"/>
    <w:rsid w:val="00E21D72"/>
    <w:rsid w:val="00E22286"/>
    <w:rsid w:val="00E23780"/>
    <w:rsid w:val="00E25148"/>
    <w:rsid w:val="00E258AC"/>
    <w:rsid w:val="00E25AC3"/>
    <w:rsid w:val="00E25F3C"/>
    <w:rsid w:val="00E261D5"/>
    <w:rsid w:val="00E27103"/>
    <w:rsid w:val="00E303D2"/>
    <w:rsid w:val="00E30611"/>
    <w:rsid w:val="00E31027"/>
    <w:rsid w:val="00E32C40"/>
    <w:rsid w:val="00E3357F"/>
    <w:rsid w:val="00E33595"/>
    <w:rsid w:val="00E33DD5"/>
    <w:rsid w:val="00E345CE"/>
    <w:rsid w:val="00E34CBC"/>
    <w:rsid w:val="00E34D3D"/>
    <w:rsid w:val="00E34D75"/>
    <w:rsid w:val="00E352B4"/>
    <w:rsid w:val="00E35676"/>
    <w:rsid w:val="00E35CB4"/>
    <w:rsid w:val="00E35F39"/>
    <w:rsid w:val="00E36C76"/>
    <w:rsid w:val="00E377CA"/>
    <w:rsid w:val="00E37F94"/>
    <w:rsid w:val="00E414B4"/>
    <w:rsid w:val="00E4225F"/>
    <w:rsid w:val="00E42270"/>
    <w:rsid w:val="00E42F61"/>
    <w:rsid w:val="00E4333D"/>
    <w:rsid w:val="00E43890"/>
    <w:rsid w:val="00E442ED"/>
    <w:rsid w:val="00E44F74"/>
    <w:rsid w:val="00E458FD"/>
    <w:rsid w:val="00E469CF"/>
    <w:rsid w:val="00E46A26"/>
    <w:rsid w:val="00E47C08"/>
    <w:rsid w:val="00E50174"/>
    <w:rsid w:val="00E50A2E"/>
    <w:rsid w:val="00E5114E"/>
    <w:rsid w:val="00E5255E"/>
    <w:rsid w:val="00E52FDD"/>
    <w:rsid w:val="00E53AE7"/>
    <w:rsid w:val="00E53AF9"/>
    <w:rsid w:val="00E554A3"/>
    <w:rsid w:val="00E55DA3"/>
    <w:rsid w:val="00E56AF9"/>
    <w:rsid w:val="00E56D1A"/>
    <w:rsid w:val="00E5728A"/>
    <w:rsid w:val="00E57BCB"/>
    <w:rsid w:val="00E57F90"/>
    <w:rsid w:val="00E600B8"/>
    <w:rsid w:val="00E632BA"/>
    <w:rsid w:val="00E634B4"/>
    <w:rsid w:val="00E641AE"/>
    <w:rsid w:val="00E64245"/>
    <w:rsid w:val="00E643D5"/>
    <w:rsid w:val="00E651BF"/>
    <w:rsid w:val="00E65DA9"/>
    <w:rsid w:val="00E66233"/>
    <w:rsid w:val="00E6765C"/>
    <w:rsid w:val="00E677CF"/>
    <w:rsid w:val="00E7204F"/>
    <w:rsid w:val="00E721E0"/>
    <w:rsid w:val="00E727B0"/>
    <w:rsid w:val="00E7370E"/>
    <w:rsid w:val="00E74103"/>
    <w:rsid w:val="00E745C4"/>
    <w:rsid w:val="00E75179"/>
    <w:rsid w:val="00E76AC6"/>
    <w:rsid w:val="00E77165"/>
    <w:rsid w:val="00E80476"/>
    <w:rsid w:val="00E80D17"/>
    <w:rsid w:val="00E811A9"/>
    <w:rsid w:val="00E825F1"/>
    <w:rsid w:val="00E82600"/>
    <w:rsid w:val="00E84050"/>
    <w:rsid w:val="00E841B2"/>
    <w:rsid w:val="00E84837"/>
    <w:rsid w:val="00E8523A"/>
    <w:rsid w:val="00E855AB"/>
    <w:rsid w:val="00E859D7"/>
    <w:rsid w:val="00E8689B"/>
    <w:rsid w:val="00E86A3B"/>
    <w:rsid w:val="00E87147"/>
    <w:rsid w:val="00E90EE0"/>
    <w:rsid w:val="00E91014"/>
    <w:rsid w:val="00E9141C"/>
    <w:rsid w:val="00E916EE"/>
    <w:rsid w:val="00E91A48"/>
    <w:rsid w:val="00E91F20"/>
    <w:rsid w:val="00E9234B"/>
    <w:rsid w:val="00E924D2"/>
    <w:rsid w:val="00E938E4"/>
    <w:rsid w:val="00E9590B"/>
    <w:rsid w:val="00E95E8F"/>
    <w:rsid w:val="00E95ED8"/>
    <w:rsid w:val="00E960B7"/>
    <w:rsid w:val="00EA0361"/>
    <w:rsid w:val="00EA0809"/>
    <w:rsid w:val="00EA1FD5"/>
    <w:rsid w:val="00EA2AB4"/>
    <w:rsid w:val="00EA3297"/>
    <w:rsid w:val="00EA36FF"/>
    <w:rsid w:val="00EA38AB"/>
    <w:rsid w:val="00EA41FE"/>
    <w:rsid w:val="00EA5B47"/>
    <w:rsid w:val="00EA6183"/>
    <w:rsid w:val="00EA6918"/>
    <w:rsid w:val="00EA7832"/>
    <w:rsid w:val="00EB0824"/>
    <w:rsid w:val="00EB0D40"/>
    <w:rsid w:val="00EB2193"/>
    <w:rsid w:val="00EB3481"/>
    <w:rsid w:val="00EB66BB"/>
    <w:rsid w:val="00EB7152"/>
    <w:rsid w:val="00EB728A"/>
    <w:rsid w:val="00EB7F64"/>
    <w:rsid w:val="00EC003D"/>
    <w:rsid w:val="00EC0174"/>
    <w:rsid w:val="00EC074F"/>
    <w:rsid w:val="00EC1192"/>
    <w:rsid w:val="00EC1413"/>
    <w:rsid w:val="00EC1907"/>
    <w:rsid w:val="00EC1C1D"/>
    <w:rsid w:val="00EC279E"/>
    <w:rsid w:val="00EC34AA"/>
    <w:rsid w:val="00EC36DF"/>
    <w:rsid w:val="00EC46CD"/>
    <w:rsid w:val="00EC518B"/>
    <w:rsid w:val="00EC61AA"/>
    <w:rsid w:val="00EC6B50"/>
    <w:rsid w:val="00EC6C0D"/>
    <w:rsid w:val="00EC6DAD"/>
    <w:rsid w:val="00EC7C76"/>
    <w:rsid w:val="00ED0918"/>
    <w:rsid w:val="00ED145D"/>
    <w:rsid w:val="00ED15BC"/>
    <w:rsid w:val="00ED22C6"/>
    <w:rsid w:val="00ED3CDD"/>
    <w:rsid w:val="00ED5080"/>
    <w:rsid w:val="00ED63BE"/>
    <w:rsid w:val="00ED6B6E"/>
    <w:rsid w:val="00ED6D30"/>
    <w:rsid w:val="00ED7057"/>
    <w:rsid w:val="00ED73D8"/>
    <w:rsid w:val="00ED7717"/>
    <w:rsid w:val="00ED7B49"/>
    <w:rsid w:val="00EE029C"/>
    <w:rsid w:val="00EE033A"/>
    <w:rsid w:val="00EE1377"/>
    <w:rsid w:val="00EE1A29"/>
    <w:rsid w:val="00EE1ABD"/>
    <w:rsid w:val="00EE1F55"/>
    <w:rsid w:val="00EE2766"/>
    <w:rsid w:val="00EE38C4"/>
    <w:rsid w:val="00EE3947"/>
    <w:rsid w:val="00EE3E6C"/>
    <w:rsid w:val="00EE544A"/>
    <w:rsid w:val="00EE66DC"/>
    <w:rsid w:val="00EE79C4"/>
    <w:rsid w:val="00EF0B93"/>
    <w:rsid w:val="00EF14C3"/>
    <w:rsid w:val="00EF15F6"/>
    <w:rsid w:val="00EF1702"/>
    <w:rsid w:val="00EF283F"/>
    <w:rsid w:val="00EF3F8E"/>
    <w:rsid w:val="00EF4384"/>
    <w:rsid w:val="00EF4472"/>
    <w:rsid w:val="00EF52F3"/>
    <w:rsid w:val="00EF55D3"/>
    <w:rsid w:val="00EF582F"/>
    <w:rsid w:val="00F00CBF"/>
    <w:rsid w:val="00F01009"/>
    <w:rsid w:val="00F013B4"/>
    <w:rsid w:val="00F01E4B"/>
    <w:rsid w:val="00F039AB"/>
    <w:rsid w:val="00F04C3E"/>
    <w:rsid w:val="00F04EAF"/>
    <w:rsid w:val="00F0624D"/>
    <w:rsid w:val="00F063A0"/>
    <w:rsid w:val="00F06835"/>
    <w:rsid w:val="00F07088"/>
    <w:rsid w:val="00F07EE5"/>
    <w:rsid w:val="00F10239"/>
    <w:rsid w:val="00F1195F"/>
    <w:rsid w:val="00F12710"/>
    <w:rsid w:val="00F127B5"/>
    <w:rsid w:val="00F12D79"/>
    <w:rsid w:val="00F132E1"/>
    <w:rsid w:val="00F13D0C"/>
    <w:rsid w:val="00F14128"/>
    <w:rsid w:val="00F14464"/>
    <w:rsid w:val="00F14845"/>
    <w:rsid w:val="00F16484"/>
    <w:rsid w:val="00F1726C"/>
    <w:rsid w:val="00F17B78"/>
    <w:rsid w:val="00F17F6A"/>
    <w:rsid w:val="00F21B6E"/>
    <w:rsid w:val="00F23004"/>
    <w:rsid w:val="00F24178"/>
    <w:rsid w:val="00F243BD"/>
    <w:rsid w:val="00F244C5"/>
    <w:rsid w:val="00F24B0B"/>
    <w:rsid w:val="00F24B9E"/>
    <w:rsid w:val="00F24C7A"/>
    <w:rsid w:val="00F255AB"/>
    <w:rsid w:val="00F25CA6"/>
    <w:rsid w:val="00F266A2"/>
    <w:rsid w:val="00F268C8"/>
    <w:rsid w:val="00F26D79"/>
    <w:rsid w:val="00F2789A"/>
    <w:rsid w:val="00F30117"/>
    <w:rsid w:val="00F32123"/>
    <w:rsid w:val="00F326C5"/>
    <w:rsid w:val="00F33128"/>
    <w:rsid w:val="00F34A50"/>
    <w:rsid w:val="00F34B13"/>
    <w:rsid w:val="00F3504F"/>
    <w:rsid w:val="00F352D5"/>
    <w:rsid w:val="00F35841"/>
    <w:rsid w:val="00F35BC5"/>
    <w:rsid w:val="00F35BEA"/>
    <w:rsid w:val="00F35C15"/>
    <w:rsid w:val="00F361E0"/>
    <w:rsid w:val="00F3677B"/>
    <w:rsid w:val="00F36966"/>
    <w:rsid w:val="00F370FB"/>
    <w:rsid w:val="00F37335"/>
    <w:rsid w:val="00F415A7"/>
    <w:rsid w:val="00F417E9"/>
    <w:rsid w:val="00F41BB0"/>
    <w:rsid w:val="00F42C78"/>
    <w:rsid w:val="00F42E94"/>
    <w:rsid w:val="00F440F4"/>
    <w:rsid w:val="00F443D6"/>
    <w:rsid w:val="00F4558A"/>
    <w:rsid w:val="00F45B67"/>
    <w:rsid w:val="00F46ABB"/>
    <w:rsid w:val="00F475B8"/>
    <w:rsid w:val="00F47A53"/>
    <w:rsid w:val="00F5074D"/>
    <w:rsid w:val="00F50CAE"/>
    <w:rsid w:val="00F5141A"/>
    <w:rsid w:val="00F51C51"/>
    <w:rsid w:val="00F5214D"/>
    <w:rsid w:val="00F52BC1"/>
    <w:rsid w:val="00F53103"/>
    <w:rsid w:val="00F53B24"/>
    <w:rsid w:val="00F53BFC"/>
    <w:rsid w:val="00F53E7E"/>
    <w:rsid w:val="00F540AB"/>
    <w:rsid w:val="00F54815"/>
    <w:rsid w:val="00F54C72"/>
    <w:rsid w:val="00F56C34"/>
    <w:rsid w:val="00F60C77"/>
    <w:rsid w:val="00F62310"/>
    <w:rsid w:val="00F624C4"/>
    <w:rsid w:val="00F63A5C"/>
    <w:rsid w:val="00F646C7"/>
    <w:rsid w:val="00F65FF7"/>
    <w:rsid w:val="00F667C2"/>
    <w:rsid w:val="00F66934"/>
    <w:rsid w:val="00F66C4F"/>
    <w:rsid w:val="00F66D2C"/>
    <w:rsid w:val="00F66D79"/>
    <w:rsid w:val="00F67DF5"/>
    <w:rsid w:val="00F7057A"/>
    <w:rsid w:val="00F717A8"/>
    <w:rsid w:val="00F72B5A"/>
    <w:rsid w:val="00F7339F"/>
    <w:rsid w:val="00F737AF"/>
    <w:rsid w:val="00F74025"/>
    <w:rsid w:val="00F754BC"/>
    <w:rsid w:val="00F773E4"/>
    <w:rsid w:val="00F77CE6"/>
    <w:rsid w:val="00F80C0A"/>
    <w:rsid w:val="00F80E7F"/>
    <w:rsid w:val="00F8156C"/>
    <w:rsid w:val="00F82E61"/>
    <w:rsid w:val="00F8389B"/>
    <w:rsid w:val="00F83A16"/>
    <w:rsid w:val="00F846CA"/>
    <w:rsid w:val="00F8725B"/>
    <w:rsid w:val="00F90360"/>
    <w:rsid w:val="00F91513"/>
    <w:rsid w:val="00F922A8"/>
    <w:rsid w:val="00F927DC"/>
    <w:rsid w:val="00F92B59"/>
    <w:rsid w:val="00F93584"/>
    <w:rsid w:val="00F948D7"/>
    <w:rsid w:val="00F9629C"/>
    <w:rsid w:val="00F962D4"/>
    <w:rsid w:val="00F96531"/>
    <w:rsid w:val="00F9750F"/>
    <w:rsid w:val="00FA02FB"/>
    <w:rsid w:val="00FA0423"/>
    <w:rsid w:val="00FA0479"/>
    <w:rsid w:val="00FA1348"/>
    <w:rsid w:val="00FA211F"/>
    <w:rsid w:val="00FA22B2"/>
    <w:rsid w:val="00FA295D"/>
    <w:rsid w:val="00FA3803"/>
    <w:rsid w:val="00FA4BFB"/>
    <w:rsid w:val="00FA5944"/>
    <w:rsid w:val="00FA6B61"/>
    <w:rsid w:val="00FB02CC"/>
    <w:rsid w:val="00FB04D3"/>
    <w:rsid w:val="00FB05ED"/>
    <w:rsid w:val="00FB25EB"/>
    <w:rsid w:val="00FB289F"/>
    <w:rsid w:val="00FB37BA"/>
    <w:rsid w:val="00FB3AFA"/>
    <w:rsid w:val="00FB439D"/>
    <w:rsid w:val="00FB56C4"/>
    <w:rsid w:val="00FB7C44"/>
    <w:rsid w:val="00FC121D"/>
    <w:rsid w:val="00FC171B"/>
    <w:rsid w:val="00FC1B5C"/>
    <w:rsid w:val="00FC2AF0"/>
    <w:rsid w:val="00FC2CC7"/>
    <w:rsid w:val="00FC3346"/>
    <w:rsid w:val="00FC3FFB"/>
    <w:rsid w:val="00FC4848"/>
    <w:rsid w:val="00FC56E3"/>
    <w:rsid w:val="00FC584A"/>
    <w:rsid w:val="00FC58FD"/>
    <w:rsid w:val="00FC6D51"/>
    <w:rsid w:val="00FC7576"/>
    <w:rsid w:val="00FC7B85"/>
    <w:rsid w:val="00FC7D14"/>
    <w:rsid w:val="00FD004D"/>
    <w:rsid w:val="00FD0059"/>
    <w:rsid w:val="00FD0581"/>
    <w:rsid w:val="00FD0761"/>
    <w:rsid w:val="00FD21CF"/>
    <w:rsid w:val="00FD2C25"/>
    <w:rsid w:val="00FD2C93"/>
    <w:rsid w:val="00FD3758"/>
    <w:rsid w:val="00FD3891"/>
    <w:rsid w:val="00FD4837"/>
    <w:rsid w:val="00FD48E0"/>
    <w:rsid w:val="00FD4E3B"/>
    <w:rsid w:val="00FD5B10"/>
    <w:rsid w:val="00FD5E22"/>
    <w:rsid w:val="00FD66FC"/>
    <w:rsid w:val="00FD6A97"/>
    <w:rsid w:val="00FD7ED3"/>
    <w:rsid w:val="00FE0B57"/>
    <w:rsid w:val="00FE137D"/>
    <w:rsid w:val="00FE1B73"/>
    <w:rsid w:val="00FE209B"/>
    <w:rsid w:val="00FE2D87"/>
    <w:rsid w:val="00FE57A4"/>
    <w:rsid w:val="00FE6CAB"/>
    <w:rsid w:val="00FE7392"/>
    <w:rsid w:val="00FE7927"/>
    <w:rsid w:val="00FE7A1A"/>
    <w:rsid w:val="00FE7F8E"/>
    <w:rsid w:val="00FF01C9"/>
    <w:rsid w:val="00FF1C40"/>
    <w:rsid w:val="00FF2251"/>
    <w:rsid w:val="00FF27A6"/>
    <w:rsid w:val="00FF2B1D"/>
    <w:rsid w:val="00FF34CB"/>
    <w:rsid w:val="00FF34E6"/>
    <w:rsid w:val="00FF3FF5"/>
    <w:rsid w:val="00FF438C"/>
    <w:rsid w:val="00FF46D5"/>
    <w:rsid w:val="00FF4733"/>
    <w:rsid w:val="00FF520E"/>
    <w:rsid w:val="00FF53CE"/>
    <w:rsid w:val="00FF5816"/>
    <w:rsid w:val="00FF6140"/>
    <w:rsid w:val="00FF6F4C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405D4"/>
  <w15:docId w15:val="{94A95B18-1215-4131-8F29-5401CCD3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4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384"/>
  </w:style>
  <w:style w:type="paragraph" w:styleId="a6">
    <w:name w:val="footer"/>
    <w:basedOn w:val="a"/>
    <w:link w:val="a7"/>
    <w:uiPriority w:val="99"/>
    <w:unhideWhenUsed/>
    <w:rsid w:val="00EF4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384"/>
  </w:style>
  <w:style w:type="paragraph" w:styleId="a8">
    <w:name w:val="Balloon Text"/>
    <w:basedOn w:val="a"/>
    <w:link w:val="a9"/>
    <w:uiPriority w:val="99"/>
    <w:semiHidden/>
    <w:unhideWhenUsed/>
    <w:rsid w:val="0040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chart" Target="charts/chart3.xml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21" Type="http://schemas.openxmlformats.org/officeDocument/2006/relationships/chart" Target="charts/chart4.xml"/><Relationship Id="rId34" Type="http://schemas.openxmlformats.org/officeDocument/2006/relationships/chart" Target="charts/chart8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image" Target="media/image6.emf"/><Relationship Id="rId25" Type="http://schemas.openxmlformats.org/officeDocument/2006/relationships/image" Target="media/image11.emf"/><Relationship Id="rId33" Type="http://schemas.openxmlformats.org/officeDocument/2006/relationships/image" Target="media/image17.em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chart" Target="charts/chart5.xml"/><Relationship Id="rId32" Type="http://schemas.openxmlformats.org/officeDocument/2006/relationships/image" Target="media/image16.emf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hart" Target="charts/chart2.xml"/><Relationship Id="rId23" Type="http://schemas.openxmlformats.org/officeDocument/2006/relationships/image" Target="media/image10.emf"/><Relationship Id="rId28" Type="http://schemas.openxmlformats.org/officeDocument/2006/relationships/image" Target="media/image13.emf"/><Relationship Id="rId36" Type="http://schemas.openxmlformats.org/officeDocument/2006/relationships/image" Target="media/image19.emf"/><Relationship Id="rId10" Type="http://schemas.openxmlformats.org/officeDocument/2006/relationships/image" Target="media/image1.emf"/><Relationship Id="rId19" Type="http://schemas.openxmlformats.org/officeDocument/2006/relationships/image" Target="media/image7.emf"/><Relationship Id="rId31" Type="http://schemas.openxmlformats.org/officeDocument/2006/relationships/chart" Target="charts/chart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chart" Target="charts/chart6.xml"/><Relationship Id="rId30" Type="http://schemas.openxmlformats.org/officeDocument/2006/relationships/image" Target="media/image15.emf"/><Relationship Id="rId35" Type="http://schemas.openxmlformats.org/officeDocument/2006/relationships/image" Target="media/image18.emf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G:\&#20849;&#26377;&#12489;&#12521;&#12452;&#12502;\&#36914;&#34892;&#24418;&#12503;&#12525;&#12472;&#12455;&#12463;&#12488;&#65288;2020&#24180;&#38283;&#22987;&#12398;&#12418;&#12398;&#12363;&#12425;&#65289;\2020&#12288;&#21830;&#24037;&#20250;&#35696;&#25152;&#12288;&#12467;&#12525;&#12490;&#12454;&#12451;&#12523;&#12473;\&#31532;2&#22238;\&#34920;%20&#12464;&#12521;&#12501;&#20316;&#25104;&#2999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G:\&#20849;&#26377;&#12489;&#12521;&#12452;&#12502;\&#36914;&#34892;&#24418;&#12503;&#12525;&#12472;&#12455;&#12463;&#12488;&#65288;2020&#24180;&#38283;&#22987;&#12398;&#12418;&#12398;&#12363;&#12425;&#65289;\2020&#12288;&#21830;&#24037;&#20250;&#35696;&#25152;&#12288;&#12467;&#12525;&#12490;&#12454;&#12451;&#12523;&#12473;\&#31532;2&#22238;\&#34920;%20&#12464;&#12521;&#12501;&#20316;&#25104;&#29992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G:\&#20849;&#26377;&#12489;&#12521;&#12452;&#12502;\&#36914;&#34892;&#24418;&#12503;&#12525;&#12472;&#12455;&#12463;&#12488;&#65288;2020&#24180;&#38283;&#22987;&#12398;&#12418;&#12398;&#12363;&#12425;&#65289;\2020&#12288;&#21830;&#24037;&#20250;&#35696;&#25152;&#12288;&#12467;&#12525;&#12490;&#12454;&#12451;&#12523;&#12473;\&#31532;2&#22238;\&#34920;%20&#12464;&#12521;&#12501;&#20316;&#25104;&#2999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20849;&#26377;&#12489;&#12521;&#12452;&#12502;\&#36914;&#34892;&#24418;&#12503;&#12525;&#12472;&#12455;&#12463;&#12488;&#65288;2020&#24180;&#38283;&#22987;&#12398;&#12418;&#12398;&#12363;&#12425;&#65289;\2020&#12288;&#21830;&#24037;&#20250;&#35696;&#25152;&#12288;&#12467;&#12525;&#12490;&#12454;&#12451;&#12523;&#12473;\&#31532;2&#22238;\&#34920;%20&#12464;&#12521;&#12501;&#20316;&#25104;&#2999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20849;&#26377;&#12489;&#12521;&#12452;&#12502;\&#36914;&#34892;&#24418;&#12503;&#12525;&#12472;&#12455;&#12463;&#12488;&#65288;2020&#24180;&#38283;&#22987;&#12398;&#12418;&#12398;&#12363;&#12425;&#65289;\2020&#12288;&#21830;&#24037;&#20250;&#35696;&#25152;&#12288;&#12467;&#12525;&#12490;&#12454;&#12451;&#12523;&#12473;\&#31532;2&#22238;\&#34920;%20&#12464;&#12521;&#12501;&#20316;&#25104;&#2999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G:\&#20849;&#26377;&#12489;&#12521;&#12452;&#12502;\&#36914;&#34892;&#24418;&#12503;&#12525;&#12472;&#12455;&#12463;&#12488;&#65288;2020&#24180;&#38283;&#22987;&#12398;&#12418;&#12398;&#12363;&#12425;&#65289;\2020&#12288;&#21830;&#24037;&#20250;&#35696;&#25152;&#12288;&#12467;&#12525;&#12490;&#12454;&#12451;&#12523;&#12473;\&#31532;2&#22238;\&#34920;%20&#12464;&#12521;&#12501;&#20316;&#25104;&#29992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20849;&#26377;&#12489;&#12521;&#12452;&#12502;\&#36914;&#34892;&#24418;&#12503;&#12525;&#12472;&#12455;&#12463;&#12488;&#65288;2020&#24180;&#38283;&#22987;&#12398;&#12418;&#12398;&#12363;&#12425;&#65289;\2020&#12288;&#21830;&#24037;&#20250;&#35696;&#25152;&#12288;&#12467;&#12525;&#12490;&#12454;&#12451;&#12523;&#12473;\&#31532;2&#22238;\&#34920;%20&#12464;&#12521;&#12501;&#20316;&#25104;&#2999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20849;&#26377;&#12489;&#12521;&#12452;&#12502;\&#36914;&#34892;&#24418;&#12503;&#12525;&#12472;&#12455;&#12463;&#12488;&#65288;2020&#24180;&#38283;&#22987;&#12398;&#12418;&#12398;&#12363;&#12425;&#65289;\2020&#12288;&#21830;&#24037;&#20250;&#35696;&#25152;&#12288;&#12467;&#12525;&#12490;&#12454;&#12451;&#12523;&#12473;\&#31532;2&#22238;\&#34920;%20&#12464;&#12521;&#12501;&#20316;&#25104;&#2999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N=319</a:t>
            </a:r>
            <a:endParaRPr lang="ja-JP" altLang="en-US"/>
          </a:p>
        </c:rich>
      </c:tx>
      <c:layout>
        <c:manualLayout>
          <c:xMode val="edge"/>
          <c:yMode val="edge"/>
          <c:x val="6.7152230971128544E-3"/>
          <c:y val="4.6296296296296294E-3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0352511063719056"/>
          <c:y val="0.19352115667622469"/>
          <c:w val="0.40941437065750763"/>
          <c:h val="0.67076115485564303"/>
        </c:manualLayout>
      </c:layout>
      <c:pieChart>
        <c:varyColors val="1"/>
        <c:ser>
          <c:idx val="0"/>
          <c:order val="0"/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23-4F75-AC0A-C97E65B6AD6A}"/>
              </c:ext>
            </c:extLst>
          </c:dPt>
          <c:dPt>
            <c:idx val="1"/>
            <c:bubble3D val="0"/>
            <c:spPr>
              <a:pattFill prst="smGrid">
                <a:fgClr>
                  <a:srgbClr val="4472C4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23-4F75-AC0A-C97E65B6AD6A}"/>
              </c:ext>
            </c:extLst>
          </c:dPt>
          <c:dPt>
            <c:idx val="2"/>
            <c:bubble3D val="0"/>
            <c:spPr>
              <a:pattFill prst="pct5">
                <a:fgClr>
                  <a:srgbClr val="4472C4">
                    <a:lumMod val="60000"/>
                    <a:lumOff val="40000"/>
                  </a:srgbClr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23-4F75-AC0A-C97E65B6AD6A}"/>
              </c:ext>
            </c:extLst>
          </c:dPt>
          <c:dPt>
            <c:idx val="3"/>
            <c:bubble3D val="0"/>
            <c:spPr>
              <a:pattFill prst="pct8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C23-4F75-AC0A-C97E65B6AD6A}"/>
              </c:ext>
            </c:extLst>
          </c:dPt>
          <c:dPt>
            <c:idx val="4"/>
            <c:bubble3D val="0"/>
            <c:spPr>
              <a:pattFill prst="pct2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C23-4F75-AC0A-C97E65B6AD6A}"/>
              </c:ext>
            </c:extLst>
          </c:dPt>
          <c:dPt>
            <c:idx val="5"/>
            <c:bubble3D val="0"/>
            <c:spPr>
              <a:pattFill prst="pct3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C23-4F75-AC0A-C97E65B6AD6A}"/>
              </c:ext>
            </c:extLst>
          </c:dPt>
          <c:dPt>
            <c:idx val="6"/>
            <c:bubble3D val="0"/>
            <c:spPr>
              <a:pattFill prst="ltHorz">
                <a:fgClr>
                  <a:srgbClr val="4472C4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C23-4F75-AC0A-C97E65B6AD6A}"/>
              </c:ext>
            </c:extLst>
          </c:dPt>
          <c:dPt>
            <c:idx val="7"/>
            <c:bubble3D val="0"/>
            <c:spPr>
              <a:pattFill prst="dashDnDiag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C23-4F75-AC0A-C97E65B6AD6A}"/>
              </c:ext>
            </c:extLst>
          </c:dPt>
          <c:dPt>
            <c:idx val="8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C23-4F75-AC0A-C97E65B6AD6A}"/>
              </c:ext>
            </c:extLst>
          </c:dPt>
          <c:dPt>
            <c:idx val="9"/>
            <c:bubble3D val="0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C23-4F75-AC0A-C97E65B6AD6A}"/>
              </c:ext>
            </c:extLst>
          </c:dPt>
          <c:dLbls>
            <c:dLbl>
              <c:idx val="0"/>
              <c:layout>
                <c:manualLayout>
                  <c:x val="4.1666666666666567E-2"/>
                  <c:y val="-2.77777777777777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23-4F75-AC0A-C97E65B6AD6A}"/>
                </c:ext>
              </c:extLst>
            </c:dLbl>
            <c:dLbl>
              <c:idx val="1"/>
              <c:layout>
                <c:manualLayout>
                  <c:x val="6.3888888888888884E-2"/>
                  <c:y val="-2.7777777777777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055555555555557"/>
                      <c:h val="0.2042362933799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C23-4F75-AC0A-C97E65B6AD6A}"/>
                </c:ext>
              </c:extLst>
            </c:dLbl>
            <c:dLbl>
              <c:idx val="2"/>
              <c:layout>
                <c:manualLayout>
                  <c:x val="0.26666677602799649"/>
                  <c:y val="-1.38888888888890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344444444444447"/>
                      <c:h val="0.2042362933799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C23-4F75-AC0A-C97E65B6AD6A}"/>
                </c:ext>
              </c:extLst>
            </c:dLbl>
            <c:dLbl>
              <c:idx val="3"/>
              <c:layout>
                <c:manualLayout>
                  <c:x val="-5.0065607794850669E-2"/>
                  <c:y val="0.1203703703703703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862133883270468"/>
                      <c:h val="0.2042362933799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C23-4F75-AC0A-C97E65B6AD6A}"/>
                </c:ext>
              </c:extLst>
            </c:dLbl>
            <c:dLbl>
              <c:idx val="4"/>
              <c:layout>
                <c:manualLayout>
                  <c:x val="-5.6920160647330582E-2"/>
                  <c:y val="9.72222222222222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23-4F75-AC0A-C97E65B6AD6A}"/>
                </c:ext>
              </c:extLst>
            </c:dLbl>
            <c:dLbl>
              <c:idx val="5"/>
              <c:layout>
                <c:manualLayout>
                  <c:x val="-5.555555555555560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C23-4F75-AC0A-C97E65B6AD6A}"/>
                </c:ext>
              </c:extLst>
            </c:dLbl>
            <c:dLbl>
              <c:idx val="6"/>
              <c:layout>
                <c:manualLayout>
                  <c:x val="5.2417812703436768E-2"/>
                  <c:y val="-5.0925925925925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C23-4F75-AC0A-C97E65B6AD6A}"/>
                </c:ext>
              </c:extLst>
            </c:dLbl>
            <c:dLbl>
              <c:idx val="7"/>
              <c:layout>
                <c:manualLayout>
                  <c:x val="9.6032803614472334E-2"/>
                  <c:y val="-4.166666666666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C23-4F75-AC0A-C97E65B6AD6A}"/>
                </c:ext>
              </c:extLst>
            </c:dLbl>
            <c:dLbl>
              <c:idx val="8"/>
              <c:layout>
                <c:manualLayout>
                  <c:x val="-0.16666666666666666"/>
                  <c:y val="-1.85185185185185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C23-4F75-AC0A-C97E65B6AD6A}"/>
                </c:ext>
              </c:extLst>
            </c:dLbl>
            <c:dLbl>
              <c:idx val="9"/>
              <c:layout>
                <c:manualLayout>
                  <c:x val="-6.1111111111111165E-2"/>
                  <c:y val="-4.166666666666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C23-4F75-AC0A-C97E65B6AD6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ysClr val="windowText" lastClr="000000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単純集計!$C$55:$C$62</c:f>
              <c:strCache>
                <c:ptCount val="8"/>
                <c:pt idx="0">
                  <c:v>50％超減少</c:v>
                </c:pt>
                <c:pt idx="1">
                  <c:v>50％～30％減少</c:v>
                </c:pt>
                <c:pt idx="2">
                  <c:v>30％未満～10％減少</c:v>
                </c:pt>
                <c:pt idx="3">
                  <c:v>10％未満減少</c:v>
                </c:pt>
                <c:pt idx="4">
                  <c:v>10％未満増加</c:v>
                </c:pt>
                <c:pt idx="5">
                  <c:v>10％～30％増加</c:v>
                </c:pt>
                <c:pt idx="6">
                  <c:v>30％超増加</c:v>
                </c:pt>
                <c:pt idx="7">
                  <c:v>無回答</c:v>
                </c:pt>
              </c:strCache>
            </c:strRef>
          </c:cat>
          <c:val>
            <c:numRef>
              <c:f>単純集計!$D$55:$D$62</c:f>
              <c:numCache>
                <c:formatCode>_ * ###0_ ;_ * \-###0_ </c:formatCode>
                <c:ptCount val="8"/>
                <c:pt idx="0">
                  <c:v>50</c:v>
                </c:pt>
                <c:pt idx="1">
                  <c:v>61</c:v>
                </c:pt>
                <c:pt idx="2">
                  <c:v>102</c:v>
                </c:pt>
                <c:pt idx="3">
                  <c:v>61</c:v>
                </c:pt>
                <c:pt idx="4">
                  <c:v>20</c:v>
                </c:pt>
                <c:pt idx="5">
                  <c:v>12</c:v>
                </c:pt>
                <c:pt idx="6">
                  <c:v>2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C23-4F75-AC0A-C97E65B6AD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N=319</a:t>
            </a:r>
            <a:endParaRPr lang="ja-JP" altLang="en-US"/>
          </a:p>
        </c:rich>
      </c:tx>
      <c:layout>
        <c:manualLayout>
          <c:xMode val="edge"/>
          <c:yMode val="edge"/>
          <c:x val="6.7152230971128544E-3"/>
          <c:y val="4.6296296296296294E-3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0352511063719056"/>
          <c:y val="0.19352115667622469"/>
          <c:w val="0.40941437065750763"/>
          <c:h val="0.67076115485564303"/>
        </c:manualLayout>
      </c:layout>
      <c:pieChart>
        <c:varyColors val="1"/>
        <c:ser>
          <c:idx val="0"/>
          <c:order val="0"/>
          <c:tx>
            <c:strRef>
              <c:f>単純集計!$D$66</c:f>
              <c:strCache>
                <c:ptCount val="1"/>
                <c:pt idx="0">
                  <c:v>件数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11-4F51-894E-D08CF307B606}"/>
              </c:ext>
            </c:extLst>
          </c:dPt>
          <c:dPt>
            <c:idx val="1"/>
            <c:bubble3D val="0"/>
            <c:spPr>
              <a:pattFill prst="smGrid">
                <a:fgClr>
                  <a:srgbClr val="4472C4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11-4F51-894E-D08CF307B606}"/>
              </c:ext>
            </c:extLst>
          </c:dPt>
          <c:dPt>
            <c:idx val="2"/>
            <c:bubble3D val="0"/>
            <c:spPr>
              <a:pattFill prst="pct5">
                <a:fgClr>
                  <a:srgbClr val="4472C4">
                    <a:lumMod val="60000"/>
                    <a:lumOff val="40000"/>
                  </a:srgbClr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11-4F51-894E-D08CF307B606}"/>
              </c:ext>
            </c:extLst>
          </c:dPt>
          <c:dPt>
            <c:idx val="3"/>
            <c:bubble3D val="0"/>
            <c:spPr>
              <a:pattFill prst="pct8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411-4F51-894E-D08CF307B606}"/>
              </c:ext>
            </c:extLst>
          </c:dPt>
          <c:dPt>
            <c:idx val="4"/>
            <c:bubble3D val="0"/>
            <c:spPr>
              <a:pattFill prst="pct2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411-4F51-894E-D08CF307B606}"/>
              </c:ext>
            </c:extLst>
          </c:dPt>
          <c:dPt>
            <c:idx val="5"/>
            <c:bubble3D val="0"/>
            <c:spPr>
              <a:pattFill prst="pct3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411-4F51-894E-D08CF307B606}"/>
              </c:ext>
            </c:extLst>
          </c:dPt>
          <c:dPt>
            <c:idx val="6"/>
            <c:bubble3D val="0"/>
            <c:spPr>
              <a:pattFill prst="ltHorz">
                <a:fgClr>
                  <a:srgbClr val="4472C4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411-4F51-894E-D08CF307B606}"/>
              </c:ext>
            </c:extLst>
          </c:dPt>
          <c:dPt>
            <c:idx val="7"/>
            <c:bubble3D val="0"/>
            <c:spPr>
              <a:pattFill prst="dashDnDiag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411-4F51-894E-D08CF307B606}"/>
              </c:ext>
            </c:extLst>
          </c:dPt>
          <c:dPt>
            <c:idx val="8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411-4F51-894E-D08CF307B606}"/>
              </c:ext>
            </c:extLst>
          </c:dPt>
          <c:dPt>
            <c:idx val="9"/>
            <c:bubble3D val="0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411-4F51-894E-D08CF307B606}"/>
              </c:ext>
            </c:extLst>
          </c:dPt>
          <c:dLbls>
            <c:dLbl>
              <c:idx val="0"/>
              <c:layout>
                <c:manualLayout>
                  <c:x val="4.1666666666666567E-2"/>
                  <c:y val="-2.77777777777777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11-4F51-894E-D08CF307B606}"/>
                </c:ext>
              </c:extLst>
            </c:dLbl>
            <c:dLbl>
              <c:idx val="1"/>
              <c:layout>
                <c:manualLayout>
                  <c:x val="6.3888888888888884E-2"/>
                  <c:y val="-2.7777777777777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055555555555557"/>
                      <c:h val="0.2042362933799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11-4F51-894E-D08CF307B606}"/>
                </c:ext>
              </c:extLst>
            </c:dLbl>
            <c:dLbl>
              <c:idx val="2"/>
              <c:layout>
                <c:manualLayout>
                  <c:x val="6.3888888888888787E-2"/>
                  <c:y val="-9.259259259259258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11-4F51-894E-D08CF307B606}"/>
                </c:ext>
              </c:extLst>
            </c:dLbl>
            <c:dLbl>
              <c:idx val="3"/>
              <c:layout>
                <c:manualLayout>
                  <c:x val="4.1666666666666567E-2"/>
                  <c:y val="-4.62962962962962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38888888888889"/>
                      <c:h val="0.2042362933799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11-4F51-894E-D08CF307B606}"/>
                </c:ext>
              </c:extLst>
            </c:dLbl>
            <c:dLbl>
              <c:idx val="4"/>
              <c:layout>
                <c:manualLayout>
                  <c:x val="-6.3976493706251011E-2"/>
                  <c:y val="7.27626280794985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411-4F51-894E-D08CF307B606}"/>
                </c:ext>
              </c:extLst>
            </c:dLbl>
            <c:dLbl>
              <c:idx val="5"/>
              <c:layout>
                <c:manualLayout>
                  <c:x val="-0.11671045235539844"/>
                  <c:y val="1.05838772270241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11-4F51-894E-D08CF307B606}"/>
                </c:ext>
              </c:extLst>
            </c:dLbl>
            <c:dLbl>
              <c:idx val="6"/>
              <c:layout>
                <c:manualLayout>
                  <c:x val="-8.7370738072066207E-3"/>
                  <c:y val="-4.9837283304836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411-4F51-894E-D08CF307B606}"/>
                </c:ext>
              </c:extLst>
            </c:dLbl>
            <c:dLbl>
              <c:idx val="7"/>
              <c:layout>
                <c:manualLayout>
                  <c:x val="3.017369506454878E-2"/>
                  <c:y val="-6.70312224378197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411-4F51-894E-D08CF307B606}"/>
                </c:ext>
              </c:extLst>
            </c:dLbl>
            <c:dLbl>
              <c:idx val="8"/>
              <c:layout>
                <c:manualLayout>
                  <c:x val="-0.16666666666666666"/>
                  <c:y val="-1.85185185185185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411-4F51-894E-D08CF307B606}"/>
                </c:ext>
              </c:extLst>
            </c:dLbl>
            <c:dLbl>
              <c:idx val="9"/>
              <c:layout>
                <c:manualLayout>
                  <c:x val="-6.1111111111111165E-2"/>
                  <c:y val="-4.166666666666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411-4F51-894E-D08CF307B60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ysClr val="windowText" lastClr="000000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単純集計!$C$67:$C$74</c:f>
              <c:strCache>
                <c:ptCount val="8"/>
                <c:pt idx="0">
                  <c:v>50％超減少</c:v>
                </c:pt>
                <c:pt idx="1">
                  <c:v>50％～30％減少</c:v>
                </c:pt>
                <c:pt idx="2">
                  <c:v>30％未満～10％減少</c:v>
                </c:pt>
                <c:pt idx="3">
                  <c:v>10％未満減少</c:v>
                </c:pt>
                <c:pt idx="4">
                  <c:v>10％未満増加</c:v>
                </c:pt>
                <c:pt idx="5">
                  <c:v>10％～30％増加</c:v>
                </c:pt>
                <c:pt idx="6">
                  <c:v>30％超増加</c:v>
                </c:pt>
                <c:pt idx="7">
                  <c:v>無回答</c:v>
                </c:pt>
              </c:strCache>
            </c:strRef>
          </c:cat>
          <c:val>
            <c:numRef>
              <c:f>単純集計!$D$67:$D$74</c:f>
              <c:numCache>
                <c:formatCode>_ * ###0_ ;_ * \-###0_ </c:formatCode>
                <c:ptCount val="8"/>
                <c:pt idx="0">
                  <c:v>32</c:v>
                </c:pt>
                <c:pt idx="1">
                  <c:v>69</c:v>
                </c:pt>
                <c:pt idx="2">
                  <c:v>106</c:v>
                </c:pt>
                <c:pt idx="3">
                  <c:v>71</c:v>
                </c:pt>
                <c:pt idx="4">
                  <c:v>22</c:v>
                </c:pt>
                <c:pt idx="5">
                  <c:v>5</c:v>
                </c:pt>
                <c:pt idx="6">
                  <c:v>1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411-4F51-894E-D08CF307B6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N=319</a:t>
            </a:r>
            <a:endParaRPr lang="ja-JP" altLang="en-US"/>
          </a:p>
        </c:rich>
      </c:tx>
      <c:layout>
        <c:manualLayout>
          <c:xMode val="edge"/>
          <c:yMode val="edge"/>
          <c:x val="6.7152230971128544E-3"/>
          <c:y val="4.6296296296296294E-3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0352511063719056"/>
          <c:y val="0.19352115667622469"/>
          <c:w val="0.40941437065750763"/>
          <c:h val="0.67076115485564303"/>
        </c:manualLayout>
      </c:layout>
      <c:pieChart>
        <c:varyColors val="1"/>
        <c:ser>
          <c:idx val="0"/>
          <c:order val="0"/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EF-4689-987C-69C0B7B815DD}"/>
              </c:ext>
            </c:extLst>
          </c:dPt>
          <c:dPt>
            <c:idx val="1"/>
            <c:bubble3D val="0"/>
            <c:spPr>
              <a:pattFill prst="smGrid">
                <a:fgClr>
                  <a:srgbClr val="4472C4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EF-4689-987C-69C0B7B815DD}"/>
              </c:ext>
            </c:extLst>
          </c:dPt>
          <c:dPt>
            <c:idx val="2"/>
            <c:bubble3D val="0"/>
            <c:spPr>
              <a:pattFill prst="pct5">
                <a:fgClr>
                  <a:srgbClr val="4472C4">
                    <a:lumMod val="60000"/>
                    <a:lumOff val="40000"/>
                  </a:srgbClr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EF-4689-987C-69C0B7B815DD}"/>
              </c:ext>
            </c:extLst>
          </c:dPt>
          <c:dPt>
            <c:idx val="3"/>
            <c:bubble3D val="0"/>
            <c:spPr>
              <a:pattFill prst="pct8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EF-4689-987C-69C0B7B815DD}"/>
              </c:ext>
            </c:extLst>
          </c:dPt>
          <c:dPt>
            <c:idx val="4"/>
            <c:bubble3D val="0"/>
            <c:spPr>
              <a:pattFill prst="pct2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CEF-4689-987C-69C0B7B815DD}"/>
              </c:ext>
            </c:extLst>
          </c:dPt>
          <c:dPt>
            <c:idx val="5"/>
            <c:bubble3D val="0"/>
            <c:spPr>
              <a:pattFill prst="pct3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CEF-4689-987C-69C0B7B815DD}"/>
              </c:ext>
            </c:extLst>
          </c:dPt>
          <c:dPt>
            <c:idx val="6"/>
            <c:bubble3D val="0"/>
            <c:spPr>
              <a:pattFill prst="ltHorz">
                <a:fgClr>
                  <a:srgbClr val="4472C4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CEF-4689-987C-69C0B7B815DD}"/>
              </c:ext>
            </c:extLst>
          </c:dPt>
          <c:dPt>
            <c:idx val="7"/>
            <c:bubble3D val="0"/>
            <c:spPr>
              <a:pattFill prst="dashDnDiag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CEF-4689-987C-69C0B7B815DD}"/>
              </c:ext>
            </c:extLst>
          </c:dPt>
          <c:dPt>
            <c:idx val="8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CEF-4689-987C-69C0B7B815DD}"/>
              </c:ext>
            </c:extLst>
          </c:dPt>
          <c:dPt>
            <c:idx val="9"/>
            <c:bubble3D val="0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CEF-4689-987C-69C0B7B815DD}"/>
              </c:ext>
            </c:extLst>
          </c:dPt>
          <c:dLbls>
            <c:dLbl>
              <c:idx val="0"/>
              <c:layout>
                <c:manualLayout>
                  <c:x val="4.1666666666666567E-2"/>
                  <c:y val="-2.77777777777777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EF-4689-987C-69C0B7B815DD}"/>
                </c:ext>
              </c:extLst>
            </c:dLbl>
            <c:dLbl>
              <c:idx val="1"/>
              <c:layout>
                <c:manualLayout>
                  <c:x val="6.3888888888888884E-2"/>
                  <c:y val="-2.7777777777777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055555555555557"/>
                      <c:h val="0.2042362933799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EF-4689-987C-69C0B7B815DD}"/>
                </c:ext>
              </c:extLst>
            </c:dLbl>
            <c:dLbl>
              <c:idx val="2"/>
              <c:layout>
                <c:manualLayout>
                  <c:x val="6.3888888888888787E-2"/>
                  <c:y val="-9.259259259259258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EF-4689-987C-69C0B7B815DD}"/>
                </c:ext>
              </c:extLst>
            </c:dLbl>
            <c:dLbl>
              <c:idx val="3"/>
              <c:layout>
                <c:manualLayout>
                  <c:x val="0.26276515653113641"/>
                  <c:y val="-5.0925925925925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38888888888889"/>
                      <c:h val="0.2042362933799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CEF-4689-987C-69C0B7B815DD}"/>
                </c:ext>
              </c:extLst>
            </c:dLbl>
            <c:dLbl>
              <c:idx val="4"/>
              <c:layout>
                <c:manualLayout>
                  <c:x val="-7.3384937784811491E-2"/>
                  <c:y val="-4.7187980493442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EF-4689-987C-69C0B7B815DD}"/>
                </c:ext>
              </c:extLst>
            </c:dLbl>
            <c:dLbl>
              <c:idx val="5"/>
              <c:layout>
                <c:manualLayout>
                  <c:x val="-5.555555555555560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CEF-4689-987C-69C0B7B815DD}"/>
                </c:ext>
              </c:extLst>
            </c:dLbl>
            <c:dLbl>
              <c:idx val="6"/>
              <c:layout>
                <c:manualLayout>
                  <c:x val="-4.1666666666666678E-2"/>
                  <c:y val="2.77777777777776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CEF-4689-987C-69C0B7B815DD}"/>
                </c:ext>
              </c:extLst>
            </c:dLbl>
            <c:dLbl>
              <c:idx val="7"/>
              <c:layout>
                <c:manualLayout>
                  <c:x val="-3.3333333333333333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CEF-4689-987C-69C0B7B815DD}"/>
                </c:ext>
              </c:extLst>
            </c:dLbl>
            <c:dLbl>
              <c:idx val="8"/>
              <c:layout>
                <c:manualLayout>
                  <c:x val="-0.16666666666666666"/>
                  <c:y val="-1.85185185185185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CEF-4689-987C-69C0B7B815DD}"/>
                </c:ext>
              </c:extLst>
            </c:dLbl>
            <c:dLbl>
              <c:idx val="9"/>
              <c:layout>
                <c:manualLayout>
                  <c:x val="-6.1111111111111165E-2"/>
                  <c:y val="-4.166666666666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CEF-4689-987C-69C0B7B815D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ysClr val="windowText" lastClr="000000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単純集計!$C$79:$C$84</c:f>
              <c:strCache>
                <c:ptCount val="6"/>
                <c:pt idx="0">
                  <c:v>10月頃</c:v>
                </c:pt>
                <c:pt idx="1">
                  <c:v>12～1月頃</c:v>
                </c:pt>
                <c:pt idx="2">
                  <c:v>1年程度</c:v>
                </c:pt>
                <c:pt idx="3">
                  <c:v>1年以上</c:v>
                </c:pt>
                <c:pt idx="4">
                  <c:v>分からない</c:v>
                </c:pt>
                <c:pt idx="5">
                  <c:v>無回答</c:v>
                </c:pt>
              </c:strCache>
            </c:strRef>
          </c:cat>
          <c:val>
            <c:numRef>
              <c:f>単純集計!$D$79:$D$84</c:f>
              <c:numCache>
                <c:formatCode>_ * ###0_ ;_ * \-###0_ </c:formatCode>
                <c:ptCount val="6"/>
                <c:pt idx="0">
                  <c:v>22</c:v>
                </c:pt>
                <c:pt idx="1">
                  <c:v>25</c:v>
                </c:pt>
                <c:pt idx="2">
                  <c:v>66</c:v>
                </c:pt>
                <c:pt idx="3">
                  <c:v>87</c:v>
                </c:pt>
                <c:pt idx="4">
                  <c:v>109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CEF-4689-987C-69C0B7B815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100"/>
              <a:t>N=319</a:t>
            </a:r>
            <a:endParaRPr lang="ja-JP" altLang="en-US" sz="1100"/>
          </a:p>
        </c:rich>
      </c:tx>
      <c:layout>
        <c:manualLayout>
          <c:xMode val="edge"/>
          <c:yMode val="edge"/>
          <c:x val="1.7631889763779503E-2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単純集計!$C$89:$C$92</c:f>
              <c:strCache>
                <c:ptCount val="4"/>
                <c:pt idx="0">
                  <c:v>休業（一部休業を含む）を実施</c:v>
                </c:pt>
                <c:pt idx="1">
                  <c:v>営業時間短縮を実施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単純集計!$E$89:$E$92</c:f>
              <c:numCache>
                <c:formatCode>_ * ###0.0_ ;_ * \-###0.0_ </c:formatCode>
                <c:ptCount val="4"/>
                <c:pt idx="0">
                  <c:v>41.4</c:v>
                </c:pt>
                <c:pt idx="1">
                  <c:v>20.399999999999999</c:v>
                </c:pt>
                <c:pt idx="2">
                  <c:v>48.3</c:v>
                </c:pt>
                <c:pt idx="3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3F-49FE-AC45-B0F13B3787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6117944"/>
        <c:axId val="326114008"/>
      </c:barChart>
      <c:catAx>
        <c:axId val="3261179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26114008"/>
        <c:crosses val="autoZero"/>
        <c:auto val="1"/>
        <c:lblAlgn val="ctr"/>
        <c:lblOffset val="100"/>
        <c:noMultiLvlLbl val="0"/>
      </c:catAx>
      <c:valAx>
        <c:axId val="32611400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##0.0_ ;_ * \-###0.0_ " sourceLinked="1"/>
        <c:majorTickMark val="none"/>
        <c:minorTickMark val="none"/>
        <c:tickLblPos val="nextTo"/>
        <c:crossAx val="326117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050"/>
              <a:t>N=319</a:t>
            </a:r>
            <a:endParaRPr lang="ja-JP" altLang="en-US" sz="1050"/>
          </a:p>
        </c:rich>
      </c:tx>
      <c:layout>
        <c:manualLayout>
          <c:xMode val="edge"/>
          <c:yMode val="edge"/>
          <c:x val="1.4867891513560811E-2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単純集計!$C$97:$C$113</c:f>
              <c:strCache>
                <c:ptCount val="17"/>
                <c:pt idx="0">
                  <c:v>社内でのマスクの着用</c:v>
                </c:pt>
                <c:pt idx="1">
                  <c:v>オフィス入口や執務室入口での手指消毒</c:v>
                </c:pt>
                <c:pt idx="2">
                  <c:v>社内の窓・ドアの開放</c:v>
                </c:pt>
                <c:pt idx="3">
                  <c:v>国内・海外出張の自粛</c:v>
                </c:pt>
                <c:pt idx="4">
                  <c:v>WEB会議</c:v>
                </c:pt>
                <c:pt idx="5">
                  <c:v>社員の健康・活動の記録の徹底</c:v>
                </c:pt>
                <c:pt idx="6">
                  <c:v>飛沫防止パーテーション（間仕切り）の設置</c:v>
                </c:pt>
                <c:pt idx="7">
                  <c:v>県外等からの来訪者受入禁止</c:v>
                </c:pt>
                <c:pt idx="8">
                  <c:v>テレワーク（在宅勤務含む）</c:v>
                </c:pt>
                <c:pt idx="9">
                  <c:v>社内の３密場所の可視化</c:v>
                </c:pt>
                <c:pt idx="10">
                  <c:v>プライベート活動の制限</c:v>
                </c:pt>
                <c:pt idx="11">
                  <c:v>時差出勤</c:v>
                </c:pt>
                <c:pt idx="12">
                  <c:v>社内コロナ対策本部の設置</c:v>
                </c:pt>
                <c:pt idx="13">
                  <c:v>社内での社員の行動可視化</c:v>
                </c:pt>
                <c:pt idx="14">
                  <c:v>実施していない</c:v>
                </c:pt>
                <c:pt idx="15">
                  <c:v>その他</c:v>
                </c:pt>
                <c:pt idx="16">
                  <c:v>無回答</c:v>
                </c:pt>
              </c:strCache>
            </c:strRef>
          </c:cat>
          <c:val>
            <c:numRef>
              <c:f>単純集計!$E$97:$E$113</c:f>
              <c:numCache>
                <c:formatCode>_ * ###0.0_ ;_ * \-###0.0_ </c:formatCode>
                <c:ptCount val="17"/>
                <c:pt idx="0">
                  <c:v>86.5</c:v>
                </c:pt>
                <c:pt idx="1">
                  <c:v>80.900000000000006</c:v>
                </c:pt>
                <c:pt idx="2">
                  <c:v>79.599999999999994</c:v>
                </c:pt>
                <c:pt idx="3">
                  <c:v>59.2</c:v>
                </c:pt>
                <c:pt idx="4">
                  <c:v>48.6</c:v>
                </c:pt>
                <c:pt idx="5">
                  <c:v>44.5</c:v>
                </c:pt>
                <c:pt idx="6">
                  <c:v>36.1</c:v>
                </c:pt>
                <c:pt idx="7">
                  <c:v>34.200000000000003</c:v>
                </c:pt>
                <c:pt idx="8">
                  <c:v>33.200000000000003</c:v>
                </c:pt>
                <c:pt idx="9">
                  <c:v>29.5</c:v>
                </c:pt>
                <c:pt idx="10">
                  <c:v>27</c:v>
                </c:pt>
                <c:pt idx="11">
                  <c:v>25.1</c:v>
                </c:pt>
                <c:pt idx="12">
                  <c:v>18.8</c:v>
                </c:pt>
                <c:pt idx="13">
                  <c:v>9.4</c:v>
                </c:pt>
                <c:pt idx="14">
                  <c:v>0.6</c:v>
                </c:pt>
                <c:pt idx="15">
                  <c:v>6</c:v>
                </c:pt>
                <c:pt idx="16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C-485F-B5BE-9C4E17FC5D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29815624"/>
        <c:axId val="529811688"/>
      </c:barChart>
      <c:catAx>
        <c:axId val="5298156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9811688"/>
        <c:crosses val="autoZero"/>
        <c:auto val="1"/>
        <c:lblAlgn val="ctr"/>
        <c:lblOffset val="100"/>
        <c:noMultiLvlLbl val="0"/>
      </c:catAx>
      <c:valAx>
        <c:axId val="52981168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##0.0_ ;_ * \-###0.0_ " sourceLinked="1"/>
        <c:majorTickMark val="none"/>
        <c:minorTickMark val="none"/>
        <c:tickLblPos val="nextTo"/>
        <c:crossAx val="529815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N=319</a:t>
            </a:r>
          </a:p>
        </c:rich>
      </c:tx>
      <c:layout>
        <c:manualLayout>
          <c:xMode val="edge"/>
          <c:yMode val="edge"/>
          <c:x val="6.7152230971128544E-3"/>
          <c:y val="4.6296296296296294E-3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0352511063719056"/>
          <c:y val="0.19352115667622469"/>
          <c:w val="0.40941437065750763"/>
          <c:h val="0.67076115485564303"/>
        </c:manualLayout>
      </c:layout>
      <c:pieChart>
        <c:varyColors val="1"/>
        <c:ser>
          <c:idx val="0"/>
          <c:order val="0"/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61-4AF3-A4F0-AF1E881C0FE5}"/>
              </c:ext>
            </c:extLst>
          </c:dPt>
          <c:dPt>
            <c:idx val="1"/>
            <c:bubble3D val="0"/>
            <c:spPr>
              <a:pattFill prst="smGrid">
                <a:fgClr>
                  <a:srgbClr val="4472C4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61-4AF3-A4F0-AF1E881C0FE5}"/>
              </c:ext>
            </c:extLst>
          </c:dPt>
          <c:dPt>
            <c:idx val="2"/>
            <c:bubble3D val="0"/>
            <c:spPr>
              <a:pattFill prst="pct5">
                <a:fgClr>
                  <a:srgbClr val="4472C4">
                    <a:lumMod val="60000"/>
                    <a:lumOff val="40000"/>
                  </a:srgbClr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61-4AF3-A4F0-AF1E881C0FE5}"/>
              </c:ext>
            </c:extLst>
          </c:dPt>
          <c:dPt>
            <c:idx val="3"/>
            <c:bubble3D val="0"/>
            <c:spPr>
              <a:pattFill prst="pct8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361-4AF3-A4F0-AF1E881C0FE5}"/>
              </c:ext>
            </c:extLst>
          </c:dPt>
          <c:dPt>
            <c:idx val="4"/>
            <c:bubble3D val="0"/>
            <c:spPr>
              <a:pattFill prst="pct2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361-4AF3-A4F0-AF1E881C0FE5}"/>
              </c:ext>
            </c:extLst>
          </c:dPt>
          <c:dPt>
            <c:idx val="5"/>
            <c:bubble3D val="0"/>
            <c:spPr>
              <a:pattFill prst="pct30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361-4AF3-A4F0-AF1E881C0FE5}"/>
              </c:ext>
            </c:extLst>
          </c:dPt>
          <c:dPt>
            <c:idx val="6"/>
            <c:bubble3D val="0"/>
            <c:spPr>
              <a:pattFill prst="ltHorz">
                <a:fgClr>
                  <a:srgbClr val="4472C4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361-4AF3-A4F0-AF1E881C0FE5}"/>
              </c:ext>
            </c:extLst>
          </c:dPt>
          <c:dPt>
            <c:idx val="7"/>
            <c:bubble3D val="0"/>
            <c:spPr>
              <a:pattFill prst="dashDnDiag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361-4AF3-A4F0-AF1E881C0FE5}"/>
              </c:ext>
            </c:extLst>
          </c:dPt>
          <c:dPt>
            <c:idx val="8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361-4AF3-A4F0-AF1E881C0FE5}"/>
              </c:ext>
            </c:extLst>
          </c:dPt>
          <c:dPt>
            <c:idx val="9"/>
            <c:bubble3D val="0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361-4AF3-A4F0-AF1E881C0FE5}"/>
              </c:ext>
            </c:extLst>
          </c:dPt>
          <c:dLbls>
            <c:dLbl>
              <c:idx val="0"/>
              <c:layout>
                <c:manualLayout>
                  <c:x val="4.1666666666666567E-2"/>
                  <c:y val="-2.77777777777777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61-4AF3-A4F0-AF1E881C0FE5}"/>
                </c:ext>
              </c:extLst>
            </c:dLbl>
            <c:dLbl>
              <c:idx val="1"/>
              <c:layout>
                <c:manualLayout>
                  <c:x val="-5.6607305205989195E-2"/>
                  <c:y val="3.219748792646289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588721349852438"/>
                      <c:h val="0.161900819903245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361-4AF3-A4F0-AF1E881C0FE5}"/>
                </c:ext>
              </c:extLst>
            </c:dLbl>
            <c:dLbl>
              <c:idx val="2"/>
              <c:layout>
                <c:manualLayout>
                  <c:x val="-6.0922288930356221E-2"/>
                  <c:y val="-0.165814076556711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51047106116323"/>
                      <c:h val="0.155636053519416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361-4AF3-A4F0-AF1E881C0FE5}"/>
                </c:ext>
              </c:extLst>
            </c:dLbl>
            <c:dLbl>
              <c:idx val="3"/>
              <c:layout>
                <c:manualLayout>
                  <c:x val="3.3434239513427853E-2"/>
                  <c:y val="-4.470563070602240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452278538098178"/>
                      <c:h val="0.119565310995148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361-4AF3-A4F0-AF1E881C0FE5}"/>
                </c:ext>
              </c:extLst>
            </c:dLbl>
            <c:dLbl>
              <c:idx val="4"/>
              <c:layout>
                <c:manualLayout>
                  <c:x val="5.8333333333333334E-2"/>
                  <c:y val="9.259259259259258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361-4AF3-A4F0-AF1E881C0FE5}"/>
                </c:ext>
              </c:extLst>
            </c:dLbl>
            <c:dLbl>
              <c:idx val="5"/>
              <c:layout>
                <c:manualLayout>
                  <c:x val="-5.555555555555560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361-4AF3-A4F0-AF1E881C0FE5}"/>
                </c:ext>
              </c:extLst>
            </c:dLbl>
            <c:dLbl>
              <c:idx val="6"/>
              <c:layout>
                <c:manualLayout>
                  <c:x val="-4.1666666666666678E-2"/>
                  <c:y val="2.77777777777776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361-4AF3-A4F0-AF1E881C0FE5}"/>
                </c:ext>
              </c:extLst>
            </c:dLbl>
            <c:dLbl>
              <c:idx val="7"/>
              <c:layout>
                <c:manualLayout>
                  <c:x val="-3.3333333333333333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361-4AF3-A4F0-AF1E881C0FE5}"/>
                </c:ext>
              </c:extLst>
            </c:dLbl>
            <c:dLbl>
              <c:idx val="8"/>
              <c:layout>
                <c:manualLayout>
                  <c:x val="-0.16666666666666666"/>
                  <c:y val="-1.85185185185185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361-4AF3-A4F0-AF1E881C0FE5}"/>
                </c:ext>
              </c:extLst>
            </c:dLbl>
            <c:dLbl>
              <c:idx val="9"/>
              <c:layout>
                <c:manualLayout>
                  <c:x val="-6.1111111111111165E-2"/>
                  <c:y val="-4.166666666666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361-4AF3-A4F0-AF1E881C0FE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ysClr val="windowText" lastClr="000000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単純集計!$C$118:$C$121</c:f>
              <c:strCache>
                <c:ptCount val="4"/>
                <c:pt idx="0">
                  <c:v>変更なし</c:v>
                </c:pt>
                <c:pt idx="1">
                  <c:v>見直す</c:v>
                </c:pt>
                <c:pt idx="2">
                  <c:v>元々予定なし</c:v>
                </c:pt>
                <c:pt idx="3">
                  <c:v>無回答</c:v>
                </c:pt>
              </c:strCache>
            </c:strRef>
          </c:cat>
          <c:val>
            <c:numRef>
              <c:f>単純集計!$D$118:$D$121</c:f>
              <c:numCache>
                <c:formatCode>_ * ###0_ ;_ * \-###0_ </c:formatCode>
                <c:ptCount val="4"/>
                <c:pt idx="0">
                  <c:v>162</c:v>
                </c:pt>
                <c:pt idx="1">
                  <c:v>34</c:v>
                </c:pt>
                <c:pt idx="2">
                  <c:v>117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361-4AF3-A4F0-AF1E881C0F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100"/>
              <a:t>N=319</a:t>
            </a:r>
            <a:endParaRPr lang="ja-JP" altLang="en-US" sz="1100"/>
          </a:p>
        </c:rich>
      </c:tx>
      <c:layout>
        <c:manualLayout>
          <c:xMode val="edge"/>
          <c:yMode val="edge"/>
          <c:x val="1.2076334208223944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単純集計!$C$154:$C$167</c:f>
              <c:strCache>
                <c:ptCount val="14"/>
                <c:pt idx="0">
                  <c:v>雇用調整助成金</c:v>
                </c:pt>
                <c:pt idx="1">
                  <c:v>持続化給付金</c:v>
                </c:pt>
                <c:pt idx="2">
                  <c:v>新型コロナウイルス感染症特別貸付（公庫）</c:v>
                </c:pt>
                <c:pt idx="3">
                  <c:v>静岡県経済変動対策貸付</c:v>
                </c:pt>
                <c:pt idx="4">
                  <c:v>国連携新型コロナウイルス感染症対応貸付</c:v>
                </c:pt>
                <c:pt idx="5">
                  <c:v>新型コロナウイルス感染症対応関連償還利子補助金</c:v>
                </c:pt>
                <c:pt idx="6">
                  <c:v>浜松市３密対策事業者支援事業費補助金</c:v>
                </c:pt>
                <c:pt idx="7">
                  <c:v>休業要請に基づく協力金</c:v>
                </c:pt>
                <c:pt idx="8">
                  <c:v>危機対応融資（商工中金）</c:v>
                </c:pt>
                <c:pt idx="9">
                  <c:v>マル経融資</c:v>
                </c:pt>
                <c:pt idx="10">
                  <c:v>小規模事業者持続化補助金（浜松商工会議所）</c:v>
                </c:pt>
                <c:pt idx="11">
                  <c:v>浜松市ビジネスサポート資金</c:v>
                </c:pt>
                <c:pt idx="12">
                  <c:v>その他</c:v>
                </c:pt>
                <c:pt idx="13">
                  <c:v>無回答</c:v>
                </c:pt>
              </c:strCache>
            </c:strRef>
          </c:cat>
          <c:val>
            <c:numRef>
              <c:f>単純集計!$E$154:$E$167</c:f>
              <c:numCache>
                <c:formatCode>_ * ###0.0_ ;_ * \-###0.0_ </c:formatCode>
                <c:ptCount val="14"/>
                <c:pt idx="0">
                  <c:v>39.799999999999997</c:v>
                </c:pt>
                <c:pt idx="1">
                  <c:v>29.2</c:v>
                </c:pt>
                <c:pt idx="2">
                  <c:v>16.3</c:v>
                </c:pt>
                <c:pt idx="3">
                  <c:v>11.6</c:v>
                </c:pt>
                <c:pt idx="4">
                  <c:v>9.1</c:v>
                </c:pt>
                <c:pt idx="5">
                  <c:v>7.2</c:v>
                </c:pt>
                <c:pt idx="6">
                  <c:v>7.2</c:v>
                </c:pt>
                <c:pt idx="7">
                  <c:v>6</c:v>
                </c:pt>
                <c:pt idx="8">
                  <c:v>5</c:v>
                </c:pt>
                <c:pt idx="9">
                  <c:v>2.2000000000000002</c:v>
                </c:pt>
                <c:pt idx="10">
                  <c:v>2.2000000000000002</c:v>
                </c:pt>
                <c:pt idx="11">
                  <c:v>1.9</c:v>
                </c:pt>
                <c:pt idx="12">
                  <c:v>2.8</c:v>
                </c:pt>
                <c:pt idx="13">
                  <c:v>36.1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9-4963-8A23-EC596FD38D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40976960"/>
        <c:axId val="640978600"/>
      </c:barChart>
      <c:catAx>
        <c:axId val="6409769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40978600"/>
        <c:crosses val="autoZero"/>
        <c:auto val="1"/>
        <c:lblAlgn val="ctr"/>
        <c:lblOffset val="100"/>
        <c:noMultiLvlLbl val="0"/>
      </c:catAx>
      <c:valAx>
        <c:axId val="640978600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##0.0_ ;_ * \-###0.0_ " sourceLinked="1"/>
        <c:majorTickMark val="none"/>
        <c:minorTickMark val="none"/>
        <c:tickLblPos val="nextTo"/>
        <c:crossAx val="64097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100"/>
              <a:t>N=319</a:t>
            </a:r>
            <a:endParaRPr lang="ja-JP" altLang="en-US" sz="1100"/>
          </a:p>
        </c:rich>
      </c:tx>
      <c:layout>
        <c:manualLayout>
          <c:xMode val="edge"/>
          <c:yMode val="edge"/>
          <c:x val="9.7900262467192083E-4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単純集計!$C$172:$C$183</c:f>
              <c:strCache>
                <c:ptCount val="12"/>
                <c:pt idx="0">
                  <c:v>迅速かつ正確で分かりやすい情報の提供</c:v>
                </c:pt>
                <c:pt idx="1">
                  <c:v>税負担軽減措置の実施</c:v>
                </c:pt>
                <c:pt idx="2">
                  <c:v>雇用に関する助成金の要件緩和や手続きの迅速化</c:v>
                </c:pt>
                <c:pt idx="3">
                  <c:v>マスク・消毒液などの備蓄品に対する助成金の創設など、感染予防に対する支援策の拡充</c:v>
                </c:pt>
                <c:pt idx="4">
                  <c:v>事業・店舗運営の継続に向けた大胆な給付金制度の創設</c:v>
                </c:pt>
                <c:pt idx="5">
                  <c:v>WEB会議、テレワーク導入に関する助成金の拡充</c:v>
                </c:pt>
                <c:pt idx="6">
                  <c:v>金融機関による機動的な貸出し及び融資実行の迅速化</c:v>
                </c:pt>
                <c:pt idx="7">
                  <c:v>風評被害拡大防止のための対策</c:v>
                </c:pt>
                <c:pt idx="8">
                  <c:v>売上確保のための代替サービスの構築や運用に係る経費の助成</c:v>
                </c:pt>
                <c:pt idx="9">
                  <c:v>相談機能の拡充</c:v>
                </c:pt>
                <c:pt idx="10">
                  <c:v>その他</c:v>
                </c:pt>
                <c:pt idx="11">
                  <c:v>無回答</c:v>
                </c:pt>
              </c:strCache>
            </c:strRef>
          </c:cat>
          <c:val>
            <c:numRef>
              <c:f>単純集計!$E$172:$E$183</c:f>
              <c:numCache>
                <c:formatCode>_ * ###0.0_ ;_ * \-###0.0_ </c:formatCode>
                <c:ptCount val="12"/>
                <c:pt idx="0">
                  <c:v>60.5</c:v>
                </c:pt>
                <c:pt idx="1">
                  <c:v>36.4</c:v>
                </c:pt>
                <c:pt idx="2">
                  <c:v>33.5</c:v>
                </c:pt>
                <c:pt idx="3">
                  <c:v>26.6</c:v>
                </c:pt>
                <c:pt idx="4">
                  <c:v>21.6</c:v>
                </c:pt>
                <c:pt idx="5">
                  <c:v>21.3</c:v>
                </c:pt>
                <c:pt idx="6">
                  <c:v>17.600000000000001</c:v>
                </c:pt>
                <c:pt idx="7">
                  <c:v>10.3</c:v>
                </c:pt>
                <c:pt idx="8">
                  <c:v>7.8</c:v>
                </c:pt>
                <c:pt idx="9">
                  <c:v>5</c:v>
                </c:pt>
                <c:pt idx="10">
                  <c:v>10</c:v>
                </c:pt>
                <c:pt idx="11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8-42BB-9E0E-77AB5AA2C1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49498536"/>
        <c:axId val="649502472"/>
      </c:barChart>
      <c:catAx>
        <c:axId val="6494985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49502472"/>
        <c:crosses val="autoZero"/>
        <c:auto val="1"/>
        <c:lblAlgn val="ctr"/>
        <c:lblOffset val="100"/>
        <c:noMultiLvlLbl val="0"/>
      </c:catAx>
      <c:valAx>
        <c:axId val="649502472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##0.0_ ;_ * \-###0.0_ " sourceLinked="1"/>
        <c:majorTickMark val="none"/>
        <c:minorTickMark val="none"/>
        <c:tickLblPos val="nextTo"/>
        <c:crossAx val="649498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9F5A6AB47E0C4892989FC53196CBFB" ma:contentTypeVersion="2" ma:contentTypeDescription="新しいドキュメントを作成します。" ma:contentTypeScope="" ma:versionID="8af135dc307059a269babc06cef6a0f3">
  <xsd:schema xmlns:xsd="http://www.w3.org/2001/XMLSchema" xmlns:xs="http://www.w3.org/2001/XMLSchema" xmlns:p="http://schemas.microsoft.com/office/2006/metadata/properties" xmlns:ns2="cfe8f6a1-0260-4137-875a-3a457b479ad3" targetNamespace="http://schemas.microsoft.com/office/2006/metadata/properties" ma:root="true" ma:fieldsID="fa7edac1f41e7b188318481c47fdfa97" ns2:_="">
    <xsd:import namespace="cfe8f6a1-0260-4137-875a-3a457b479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f6a1-0260-4137-875a-3a457b479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EAEAA-43E3-4115-9DC5-219AC919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8f6a1-0260-4137-875a-3a457b47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B6C69-234D-494F-9300-04044C7C9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F6C5D-56D9-4A82-9FEF-03500C1FD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</dc:creator>
  <cp:lastModifiedBy>三浦 弘和</cp:lastModifiedBy>
  <cp:revision>2</cp:revision>
  <cp:lastPrinted>2020-06-25T06:47:00Z</cp:lastPrinted>
  <dcterms:created xsi:type="dcterms:W3CDTF">2020-07-08T03:02:00Z</dcterms:created>
  <dcterms:modified xsi:type="dcterms:W3CDTF">2020-07-08T03:02:00Z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0x010100E29F5A6AB47E0C4892989FC53196CBFB</vt:lpwstr>
  </property>
</Properties>
</file>